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508"/>
        <w:gridCol w:w="4508"/>
      </w:tblGrid>
      <w:tr w:rsidR="00D6355E" w:rsidRPr="00560A99" w14:paraId="6E5BB1CF" w14:textId="77777777" w:rsidTr="00D6355E">
        <w:tc>
          <w:tcPr>
            <w:tcW w:w="4508" w:type="dxa"/>
          </w:tcPr>
          <w:p w14:paraId="6CCEAA7A" w14:textId="77777777" w:rsidR="00D6355E" w:rsidRPr="00560A99" w:rsidRDefault="00D6355E" w:rsidP="00D6355E">
            <w:pPr>
              <w:rPr>
                <w:rFonts w:ascii="Arial Narrow" w:hAnsi="Arial Narrow"/>
                <w:b/>
                <w:lang w:val="hr-HR"/>
              </w:rPr>
            </w:pPr>
            <w:bookmarkStart w:id="0" w:name="_GoBack"/>
            <w:bookmarkEnd w:id="0"/>
            <w:r w:rsidRPr="00560A99">
              <w:rPr>
                <w:rFonts w:ascii="Arial Narrow" w:hAnsi="Arial Narrow"/>
                <w:b/>
                <w:lang w:val="hr-HR"/>
              </w:rPr>
              <w:t>PITANJA</w:t>
            </w:r>
          </w:p>
        </w:tc>
        <w:tc>
          <w:tcPr>
            <w:tcW w:w="4508" w:type="dxa"/>
          </w:tcPr>
          <w:p w14:paraId="4F6EF28C" w14:textId="77777777" w:rsidR="00D6355E" w:rsidRPr="00560A99" w:rsidRDefault="00D6355E" w:rsidP="00D6355E">
            <w:pPr>
              <w:rPr>
                <w:rFonts w:ascii="Arial Narrow" w:hAnsi="Arial Narrow"/>
                <w:b/>
                <w:lang w:val="hr-HR"/>
              </w:rPr>
            </w:pPr>
            <w:r w:rsidRPr="00560A99">
              <w:rPr>
                <w:rFonts w:ascii="Arial Narrow" w:hAnsi="Arial Narrow"/>
                <w:b/>
                <w:lang w:val="hr-HR"/>
              </w:rPr>
              <w:t>ODGOVORI</w:t>
            </w:r>
          </w:p>
        </w:tc>
      </w:tr>
      <w:tr w:rsidR="006231A4" w:rsidRPr="00560A99" w14:paraId="66E5495F" w14:textId="77777777" w:rsidTr="004A51F3">
        <w:trPr>
          <w:trHeight w:val="70"/>
        </w:trPr>
        <w:tc>
          <w:tcPr>
            <w:tcW w:w="9016" w:type="dxa"/>
            <w:gridSpan w:val="2"/>
          </w:tcPr>
          <w:p w14:paraId="4EC140F1" w14:textId="52D4E9DC" w:rsidR="006231A4" w:rsidRPr="0054579F" w:rsidRDefault="006231A4" w:rsidP="006231A4">
            <w:pPr>
              <w:spacing w:after="200" w:line="276" w:lineRule="auto"/>
              <w:jc w:val="center"/>
              <w:rPr>
                <w:rFonts w:ascii="Arial Narrow" w:hAnsi="Arial Narrow"/>
                <w:b/>
                <w:lang w:val="hr-HR"/>
              </w:rPr>
            </w:pPr>
          </w:p>
        </w:tc>
      </w:tr>
      <w:tr w:rsidR="00D6355E" w:rsidRPr="00E81F79" w14:paraId="50C65E4E" w14:textId="77777777" w:rsidTr="00224661">
        <w:trPr>
          <w:trHeight w:val="566"/>
        </w:trPr>
        <w:tc>
          <w:tcPr>
            <w:tcW w:w="4508" w:type="dxa"/>
          </w:tcPr>
          <w:p w14:paraId="53884593" w14:textId="77777777" w:rsidR="00D6355E" w:rsidRPr="00E807A6" w:rsidRDefault="003E4256" w:rsidP="00731101">
            <w:pPr>
              <w:pStyle w:val="ListParagraph"/>
              <w:numPr>
                <w:ilvl w:val="0"/>
                <w:numId w:val="4"/>
              </w:numPr>
              <w:jc w:val="both"/>
              <w:rPr>
                <w:rFonts w:ascii="Arial Narrow" w:hAnsi="Arial Narrow"/>
                <w:lang w:val="hr-HR"/>
              </w:rPr>
            </w:pPr>
            <w:r w:rsidRPr="00E807A6">
              <w:rPr>
                <w:rFonts w:ascii="Arial Narrow" w:hAnsi="Arial Narrow"/>
                <w:lang w:val="hr-HR"/>
              </w:rPr>
              <w:t xml:space="preserve">Što upisati pod lokaciju projekta ako će partneri biti iz različitih županija? </w:t>
            </w:r>
          </w:p>
        </w:tc>
        <w:tc>
          <w:tcPr>
            <w:tcW w:w="4508" w:type="dxa"/>
          </w:tcPr>
          <w:p w14:paraId="2DE1F6D0" w14:textId="356EFD5F" w:rsidR="00D6355E" w:rsidRPr="00E807A6" w:rsidRDefault="003E4256" w:rsidP="008C30B7">
            <w:pPr>
              <w:spacing w:after="200" w:line="276" w:lineRule="auto"/>
              <w:jc w:val="both"/>
              <w:rPr>
                <w:rFonts w:ascii="Arial Narrow" w:hAnsi="Arial Narrow"/>
                <w:lang w:val="hr-HR"/>
              </w:rPr>
            </w:pPr>
            <w:r w:rsidRPr="00E807A6">
              <w:rPr>
                <w:rFonts w:ascii="Arial Narrow" w:hAnsi="Arial Narrow"/>
                <w:lang w:val="hr-HR"/>
              </w:rPr>
              <w:t>Pod rubrik</w:t>
            </w:r>
            <w:r w:rsidR="008C30B7">
              <w:rPr>
                <w:rFonts w:ascii="Arial Narrow" w:hAnsi="Arial Narrow"/>
                <w:lang w:val="hr-HR"/>
              </w:rPr>
              <w:t>om</w:t>
            </w:r>
            <w:r w:rsidRPr="00E807A6">
              <w:rPr>
                <w:rFonts w:ascii="Arial Narrow" w:hAnsi="Arial Narrow"/>
                <w:lang w:val="hr-HR"/>
              </w:rPr>
              <w:t xml:space="preserve"> lokacija </w:t>
            </w:r>
            <w:r w:rsidR="00101800">
              <w:rPr>
                <w:rFonts w:ascii="Arial Narrow" w:hAnsi="Arial Narrow"/>
                <w:lang w:val="hr-HR"/>
              </w:rPr>
              <w:t xml:space="preserve">u Prijavnom obrascu A </w:t>
            </w:r>
            <w:r w:rsidRPr="00E807A6">
              <w:rPr>
                <w:rFonts w:ascii="Arial Narrow" w:hAnsi="Arial Narrow"/>
                <w:lang w:val="hr-HR"/>
              </w:rPr>
              <w:t>navode se područja u kojima će se odvijati projektne aktivnosti.</w:t>
            </w:r>
          </w:p>
        </w:tc>
      </w:tr>
      <w:tr w:rsidR="00971941" w:rsidRPr="00560A99" w14:paraId="1B20832F" w14:textId="77777777" w:rsidTr="00E81F79">
        <w:tc>
          <w:tcPr>
            <w:tcW w:w="9016" w:type="dxa"/>
            <w:gridSpan w:val="2"/>
          </w:tcPr>
          <w:p w14:paraId="651CC0E2" w14:textId="77777777" w:rsidR="00971941" w:rsidRPr="00E807A6" w:rsidRDefault="00971941" w:rsidP="00797424">
            <w:pPr>
              <w:jc w:val="center"/>
              <w:rPr>
                <w:rFonts w:ascii="Arial Narrow" w:hAnsi="Arial Narrow"/>
                <w:b/>
                <w:lang w:val="hr-HR"/>
              </w:rPr>
            </w:pPr>
            <w:r w:rsidRPr="00E807A6">
              <w:rPr>
                <w:rFonts w:ascii="Arial Narrow" w:hAnsi="Arial Narrow"/>
                <w:b/>
                <w:lang w:val="hr-HR"/>
              </w:rPr>
              <w:t>Sektorska pitanja</w:t>
            </w:r>
          </w:p>
        </w:tc>
      </w:tr>
      <w:tr w:rsidR="00D6355E" w:rsidRPr="00560A99" w14:paraId="46F662CD" w14:textId="77777777" w:rsidTr="00D6355E">
        <w:tc>
          <w:tcPr>
            <w:tcW w:w="4508" w:type="dxa"/>
          </w:tcPr>
          <w:p w14:paraId="495556D3" w14:textId="77777777" w:rsidR="00D6355E" w:rsidRPr="00E807A6" w:rsidRDefault="00224661" w:rsidP="00731101">
            <w:pPr>
              <w:pStyle w:val="ListParagraph"/>
              <w:numPr>
                <w:ilvl w:val="0"/>
                <w:numId w:val="4"/>
              </w:numPr>
              <w:jc w:val="both"/>
              <w:rPr>
                <w:rFonts w:ascii="Arial Narrow" w:hAnsi="Arial Narrow"/>
                <w:lang w:val="hr-HR"/>
              </w:rPr>
            </w:pPr>
            <w:r w:rsidRPr="00E807A6">
              <w:rPr>
                <w:rFonts w:ascii="Arial Narrow" w:hAnsi="Arial Narrow"/>
                <w:lang w:val="hr-HR"/>
              </w:rPr>
              <w:t>Broj razvijenih standarda kvalifikacija – možemo li projektom razviti više?</w:t>
            </w:r>
          </w:p>
        </w:tc>
        <w:tc>
          <w:tcPr>
            <w:tcW w:w="4508" w:type="dxa"/>
          </w:tcPr>
          <w:p w14:paraId="51DDD9B9" w14:textId="0473FB63" w:rsidR="000E4487" w:rsidRPr="00E807A6" w:rsidRDefault="0035075C" w:rsidP="00E81F79">
            <w:pPr>
              <w:tabs>
                <w:tab w:val="left" w:pos="1020"/>
              </w:tabs>
              <w:jc w:val="both"/>
              <w:rPr>
                <w:rFonts w:ascii="Arial Narrow" w:hAnsi="Arial Narrow"/>
                <w:lang w:val="hr-HR"/>
              </w:rPr>
            </w:pPr>
            <w:r>
              <w:rPr>
                <w:rFonts w:ascii="Arial Narrow" w:hAnsi="Arial Narrow"/>
                <w:lang w:val="hr-HR"/>
              </w:rPr>
              <w:t xml:space="preserve">Uputama za prijavitelje nije ograničen broj </w:t>
            </w:r>
            <w:r w:rsidR="000E4487" w:rsidRPr="00E807A6">
              <w:rPr>
                <w:rFonts w:ascii="Arial Narrow" w:hAnsi="Arial Narrow"/>
                <w:lang w:val="hr-HR"/>
              </w:rPr>
              <w:t>standarda kvalifikacija</w:t>
            </w:r>
            <w:r>
              <w:rPr>
                <w:rFonts w:ascii="Arial Narrow" w:hAnsi="Arial Narrow"/>
                <w:lang w:val="hr-HR"/>
              </w:rPr>
              <w:t xml:space="preserve"> koje ćete razvijati projektnim prijedlogom</w:t>
            </w:r>
            <w:r w:rsidR="00D76D7E">
              <w:rPr>
                <w:rFonts w:ascii="Arial Narrow" w:hAnsi="Arial Narrow"/>
                <w:lang w:val="hr-HR"/>
              </w:rPr>
              <w:t xml:space="preserve"> i pri tome</w:t>
            </w:r>
            <w:r w:rsidR="000E4487" w:rsidRPr="00E807A6">
              <w:rPr>
                <w:rFonts w:ascii="Arial Narrow" w:hAnsi="Arial Narrow"/>
                <w:lang w:val="hr-HR"/>
              </w:rPr>
              <w:t xml:space="preserve"> </w:t>
            </w:r>
            <w:r w:rsidR="00B06923">
              <w:rPr>
                <w:rFonts w:ascii="Arial Narrow" w:hAnsi="Arial Narrow"/>
                <w:lang w:val="hr-HR"/>
              </w:rPr>
              <w:t xml:space="preserve">je potrebno </w:t>
            </w:r>
            <w:r w:rsidR="000E4487" w:rsidRPr="00E807A6">
              <w:rPr>
                <w:rFonts w:ascii="Arial Narrow" w:hAnsi="Arial Narrow"/>
                <w:lang w:val="hr-HR"/>
              </w:rPr>
              <w:t>uz</w:t>
            </w:r>
            <w:r w:rsidR="00D76D7E">
              <w:rPr>
                <w:rFonts w:ascii="Arial Narrow" w:hAnsi="Arial Narrow"/>
                <w:lang w:val="hr-HR"/>
              </w:rPr>
              <w:t>eti</w:t>
            </w:r>
            <w:r>
              <w:rPr>
                <w:rFonts w:ascii="Arial Narrow" w:hAnsi="Arial Narrow"/>
                <w:lang w:val="hr-HR"/>
              </w:rPr>
              <w:t>,</w:t>
            </w:r>
            <w:r w:rsidR="000E4487" w:rsidRPr="00E807A6">
              <w:rPr>
                <w:rFonts w:ascii="Arial Narrow" w:hAnsi="Arial Narrow"/>
                <w:lang w:val="hr-HR"/>
              </w:rPr>
              <w:t xml:space="preserve"> naravno</w:t>
            </w:r>
            <w:r>
              <w:rPr>
                <w:rFonts w:ascii="Arial Narrow" w:hAnsi="Arial Narrow"/>
                <w:lang w:val="hr-HR"/>
              </w:rPr>
              <w:t>,</w:t>
            </w:r>
            <w:r w:rsidR="000E4487" w:rsidRPr="00E807A6">
              <w:rPr>
                <w:rFonts w:ascii="Arial Narrow" w:hAnsi="Arial Narrow"/>
                <w:lang w:val="hr-HR"/>
              </w:rPr>
              <w:t xml:space="preserve"> u obzir kapacitete prijavitelja i partnera potrebne za njihov razvoj</w:t>
            </w:r>
            <w:r>
              <w:rPr>
                <w:rFonts w:ascii="Arial Narrow" w:hAnsi="Arial Narrow"/>
                <w:lang w:val="hr-HR"/>
              </w:rPr>
              <w:t>.</w:t>
            </w:r>
            <w:r w:rsidR="000E4487" w:rsidRPr="00E807A6">
              <w:rPr>
                <w:rFonts w:ascii="Arial Narrow" w:hAnsi="Arial Narrow"/>
                <w:lang w:val="hr-HR"/>
              </w:rPr>
              <w:t xml:space="preserve"> </w:t>
            </w:r>
            <w:r w:rsidR="00B06923">
              <w:rPr>
                <w:rFonts w:ascii="Arial Narrow" w:hAnsi="Arial Narrow"/>
                <w:lang w:val="hr-HR"/>
              </w:rPr>
              <w:t>Napominjemo da je potrebno</w:t>
            </w:r>
            <w:r w:rsidR="00B06923" w:rsidRPr="00E807A6">
              <w:rPr>
                <w:rFonts w:ascii="Arial Narrow" w:hAnsi="Arial Narrow"/>
                <w:lang w:val="hr-HR"/>
              </w:rPr>
              <w:t xml:space="preserve"> imati na umu da </w:t>
            </w:r>
            <w:r w:rsidR="00B06923">
              <w:rPr>
                <w:rFonts w:ascii="Arial Narrow" w:hAnsi="Arial Narrow"/>
                <w:lang w:val="hr-HR"/>
              </w:rPr>
              <w:t xml:space="preserve"> projektni prijedlog u evaluaciji podliježe i fazi </w:t>
            </w:r>
            <w:r w:rsidR="00B06923" w:rsidRPr="00756575">
              <w:rPr>
                <w:rFonts w:ascii="Arial Narrow" w:hAnsi="Arial Narrow"/>
                <w:lang w:val="hr-HR"/>
              </w:rPr>
              <w:t>odabir</w:t>
            </w:r>
            <w:r w:rsidR="00B06923">
              <w:rPr>
                <w:rFonts w:ascii="Arial Narrow" w:hAnsi="Arial Narrow"/>
                <w:lang w:val="hr-HR"/>
              </w:rPr>
              <w:t>a</w:t>
            </w:r>
            <w:r w:rsidR="00B06923" w:rsidRPr="00756575">
              <w:rPr>
                <w:rFonts w:ascii="Arial Narrow" w:hAnsi="Arial Narrow"/>
                <w:lang w:val="hr-HR"/>
              </w:rPr>
              <w:t xml:space="preserve"> projekata, </w:t>
            </w:r>
            <w:r w:rsidR="00B06923">
              <w:rPr>
                <w:rFonts w:ascii="Arial Narrow" w:hAnsi="Arial Narrow"/>
                <w:lang w:val="hr-HR"/>
              </w:rPr>
              <w:t xml:space="preserve">sukladno </w:t>
            </w:r>
            <w:r w:rsidR="00B06923" w:rsidRPr="00756575">
              <w:rPr>
                <w:rFonts w:ascii="Arial Narrow" w:hAnsi="Arial Narrow"/>
                <w:lang w:val="hr-HR"/>
              </w:rPr>
              <w:t>točki 6.3. Uputa za prijavitelje</w:t>
            </w:r>
            <w:r w:rsidR="00B06923">
              <w:rPr>
                <w:rFonts w:ascii="Arial Narrow" w:hAnsi="Arial Narrow"/>
                <w:lang w:val="hr-HR"/>
              </w:rPr>
              <w:t xml:space="preserve"> </w:t>
            </w:r>
            <w:r w:rsidR="005F3F43">
              <w:rPr>
                <w:rFonts w:ascii="Arial Narrow" w:hAnsi="Arial Narrow"/>
                <w:lang w:val="hr-HR"/>
              </w:rPr>
              <w:t xml:space="preserve">gdje je razvidno da se, između ostaloga, pod brojem </w:t>
            </w:r>
            <w:r w:rsidR="005F3F43" w:rsidRPr="005F3F43">
              <w:rPr>
                <w:rFonts w:ascii="Arial Narrow" w:hAnsi="Arial Narrow"/>
                <w:lang w:val="hr-HR"/>
              </w:rPr>
              <w:t>4. Učinkovitost i izvedivost projekta</w:t>
            </w:r>
            <w:r w:rsidR="00EF1271">
              <w:rPr>
                <w:rFonts w:ascii="Arial Narrow" w:hAnsi="Arial Narrow"/>
                <w:lang w:val="hr-HR"/>
              </w:rPr>
              <w:t xml:space="preserve"> </w:t>
            </w:r>
            <w:r w:rsidR="005F3F43" w:rsidRPr="005F3F43">
              <w:rPr>
                <w:rFonts w:ascii="Arial Narrow" w:hAnsi="Arial Narrow"/>
                <w:lang w:val="hr-HR"/>
              </w:rPr>
              <w:t xml:space="preserve">4.1 </w:t>
            </w:r>
            <w:r w:rsidR="005F3F43">
              <w:rPr>
                <w:rFonts w:ascii="Arial Narrow" w:hAnsi="Arial Narrow"/>
                <w:lang w:val="hr-HR"/>
              </w:rPr>
              <w:t xml:space="preserve">vrednuje </w:t>
            </w:r>
            <w:r w:rsidR="005F3F43" w:rsidRPr="005F3F43">
              <w:rPr>
                <w:rFonts w:ascii="Arial Narrow" w:hAnsi="Arial Narrow"/>
                <w:lang w:val="hr-HR"/>
              </w:rPr>
              <w:t xml:space="preserve">Metodologija izrade aktivnosti i povezanost </w:t>
            </w:r>
            <w:r w:rsidR="005F3F43">
              <w:rPr>
                <w:rFonts w:ascii="Arial Narrow" w:hAnsi="Arial Narrow"/>
                <w:lang w:val="hr-HR"/>
              </w:rPr>
              <w:t xml:space="preserve">s </w:t>
            </w:r>
            <w:r w:rsidR="005F3F43" w:rsidRPr="005F3F43">
              <w:rPr>
                <w:rFonts w:ascii="Arial Narrow" w:hAnsi="Arial Narrow"/>
                <w:lang w:val="hr-HR"/>
              </w:rPr>
              <w:t>ciljevima i rezultatima projekta</w:t>
            </w:r>
            <w:r w:rsidR="005F3F43">
              <w:rPr>
                <w:rFonts w:ascii="Arial Narrow" w:hAnsi="Arial Narrow"/>
                <w:lang w:val="hr-HR"/>
              </w:rPr>
              <w:t xml:space="preserve">. Molimo da vodite računa o načinu realizacije općeg i specifičnih ciljeva ovoga Poziva. </w:t>
            </w:r>
            <w:r w:rsidR="000E4487" w:rsidRPr="00E807A6">
              <w:rPr>
                <w:rFonts w:ascii="Arial Narrow" w:hAnsi="Arial Narrow"/>
                <w:lang w:val="hr-HR"/>
              </w:rPr>
              <w:tab/>
            </w:r>
          </w:p>
        </w:tc>
      </w:tr>
      <w:tr w:rsidR="00971941" w:rsidRPr="00E81F79" w14:paraId="254CB5B8" w14:textId="77777777" w:rsidTr="00D6355E">
        <w:tc>
          <w:tcPr>
            <w:tcW w:w="4508" w:type="dxa"/>
          </w:tcPr>
          <w:p w14:paraId="75392F15" w14:textId="77777777" w:rsidR="00971941" w:rsidRPr="00E807A6" w:rsidRDefault="00B05E17" w:rsidP="00731101">
            <w:pPr>
              <w:pStyle w:val="ListParagraph"/>
              <w:numPr>
                <w:ilvl w:val="0"/>
                <w:numId w:val="4"/>
              </w:numPr>
              <w:jc w:val="both"/>
              <w:rPr>
                <w:rFonts w:ascii="Arial Narrow" w:hAnsi="Arial Narrow"/>
                <w:lang w:val="hr-HR"/>
              </w:rPr>
            </w:pPr>
            <w:r w:rsidRPr="00E807A6">
              <w:rPr>
                <w:rFonts w:ascii="Arial Narrow" w:hAnsi="Arial Narrow"/>
                <w:lang w:val="hr-HR"/>
              </w:rPr>
              <w:t>Povezanost naziva kvalifikacije i postojećih studijskih programa, odnosno usmjerenja. S obzirom da, u konkretnom slučaju, dva hrvatska fakulteta obrazuju sličan profil stručnjaka, ali pod različitim nazivima studijskih programa, odnosno usmjerenja, zanima nas u kojoj mjeri su nazivi kvalifikacija povezani s postojećim nazivima studijskih programa? Imamo li slobodu predložiti kvalifikaciju koja proizlazi iz studijskog usmjerenja, a ne studijskog programa?</w:t>
            </w:r>
          </w:p>
        </w:tc>
        <w:tc>
          <w:tcPr>
            <w:tcW w:w="4508" w:type="dxa"/>
          </w:tcPr>
          <w:p w14:paraId="2DD025F3" w14:textId="7C917F34" w:rsidR="00971941" w:rsidRPr="00E807A6" w:rsidRDefault="00346343" w:rsidP="00317DDE">
            <w:pPr>
              <w:jc w:val="both"/>
              <w:rPr>
                <w:rFonts w:ascii="Arial Narrow" w:hAnsi="Arial Narrow"/>
                <w:lang w:val="hr-HR"/>
              </w:rPr>
            </w:pPr>
            <w:r>
              <w:rPr>
                <w:rFonts w:ascii="Arial Narrow" w:hAnsi="Arial Narrow"/>
                <w:lang w:val="hr-HR"/>
              </w:rPr>
              <w:t xml:space="preserve"> HKO je, između ostaloga,  instrument </w:t>
            </w:r>
            <w:r w:rsidRPr="00346343">
              <w:rPr>
                <w:rFonts w:ascii="Arial Narrow" w:hAnsi="Arial Narrow"/>
                <w:lang w:val="hr-HR"/>
              </w:rPr>
              <w:t xml:space="preserve"> uređenja</w:t>
            </w:r>
            <w:r w:rsidR="00843340">
              <w:rPr>
                <w:rFonts w:ascii="Arial Narrow" w:hAnsi="Arial Narrow"/>
                <w:lang w:val="hr-HR"/>
              </w:rPr>
              <w:t xml:space="preserve"> i transparentnosti</w:t>
            </w:r>
            <w:r w:rsidRPr="00346343">
              <w:rPr>
                <w:rFonts w:ascii="Arial Narrow" w:hAnsi="Arial Narrow"/>
                <w:lang w:val="hr-HR"/>
              </w:rPr>
              <w:t xml:space="preserve"> sustav</w:t>
            </w:r>
            <w:r>
              <w:rPr>
                <w:rFonts w:ascii="Arial Narrow" w:hAnsi="Arial Narrow"/>
                <w:lang w:val="hr-HR"/>
              </w:rPr>
              <w:t>a kvalifikacija u Republici Hr</w:t>
            </w:r>
            <w:r w:rsidRPr="00346343">
              <w:rPr>
                <w:rFonts w:ascii="Arial Narrow" w:hAnsi="Arial Narrow"/>
                <w:lang w:val="hr-HR"/>
              </w:rPr>
              <w:t>vatsko</w:t>
            </w:r>
            <w:r>
              <w:rPr>
                <w:rFonts w:ascii="Arial Narrow" w:hAnsi="Arial Narrow"/>
                <w:lang w:val="hr-HR"/>
              </w:rPr>
              <w:t>j.</w:t>
            </w:r>
            <w:r w:rsidR="00EF1271">
              <w:rPr>
                <w:rFonts w:ascii="Arial Narrow" w:hAnsi="Arial Narrow"/>
                <w:lang w:val="hr-HR"/>
              </w:rPr>
              <w:t xml:space="preserve"> U</w:t>
            </w:r>
            <w:r w:rsidR="00D76D7E">
              <w:rPr>
                <w:rFonts w:ascii="Arial Narrow" w:hAnsi="Arial Narrow"/>
                <w:lang w:val="hr-HR"/>
              </w:rPr>
              <w:t>ređenje sustava kvalifikacija podrazumijeva</w:t>
            </w:r>
            <w:r w:rsidR="00D76D7E" w:rsidRPr="00D76D7E">
              <w:rPr>
                <w:rFonts w:ascii="Arial Narrow" w:hAnsi="Arial Narrow"/>
                <w:lang w:val="hr-HR"/>
              </w:rPr>
              <w:t xml:space="preserve"> standardizacij</w:t>
            </w:r>
            <w:r w:rsidR="00D76D7E">
              <w:rPr>
                <w:rFonts w:ascii="Arial Narrow" w:hAnsi="Arial Narrow"/>
                <w:lang w:val="hr-HR"/>
              </w:rPr>
              <w:t>u</w:t>
            </w:r>
            <w:r w:rsidR="00D76D7E" w:rsidRPr="00D76D7E">
              <w:rPr>
                <w:rFonts w:ascii="Arial Narrow" w:hAnsi="Arial Narrow"/>
                <w:lang w:val="hr-HR"/>
              </w:rPr>
              <w:t xml:space="preserve"> studijskih programa u smislu obveznih zajedničkih ishoda učenja. Umjesto da standard kvalifikacije proizlazi iz studijskog programa, studijski program </w:t>
            </w:r>
            <w:r w:rsidR="00843340">
              <w:rPr>
                <w:rFonts w:ascii="Arial Narrow" w:hAnsi="Arial Narrow"/>
                <w:lang w:val="hr-HR"/>
              </w:rPr>
              <w:t xml:space="preserve">i njegova usmjerenja trebaju </w:t>
            </w:r>
            <w:r w:rsidR="00D76D7E" w:rsidRPr="00D76D7E">
              <w:rPr>
                <w:rFonts w:ascii="Arial Narrow" w:hAnsi="Arial Narrow"/>
                <w:lang w:val="hr-HR"/>
              </w:rPr>
              <w:t>proiz</w:t>
            </w:r>
            <w:r w:rsidR="00843340">
              <w:rPr>
                <w:rFonts w:ascii="Arial Narrow" w:hAnsi="Arial Narrow"/>
                <w:lang w:val="hr-HR"/>
              </w:rPr>
              <w:t>aći</w:t>
            </w:r>
            <w:r w:rsidR="00D76D7E" w:rsidRPr="00D76D7E">
              <w:rPr>
                <w:rFonts w:ascii="Arial Narrow" w:hAnsi="Arial Narrow"/>
                <w:lang w:val="hr-HR"/>
              </w:rPr>
              <w:t xml:space="preserve"> iz standarda kvalifikacije. Ako se studijski programi koji vode stjecanju kvalifikacije bitno razlikuju, ta razlika treba biti razvidna, kako iz naziva programa, tako i iz  naziva kvalifikacije.</w:t>
            </w:r>
            <w:r w:rsidR="00843340">
              <w:rPr>
                <w:rFonts w:ascii="Arial Narrow" w:hAnsi="Arial Narrow"/>
                <w:lang w:val="hr-HR"/>
              </w:rPr>
              <w:t xml:space="preserve"> Stoga preporučamo da se kroz razvoj i provedbu projekata razviju partnerstva između visokih učilišta koja obrazuju sličan profil stručnjaka, ali pod različitim nazivima studijskih programa, odnos</w:t>
            </w:r>
            <w:r w:rsidR="00E85AB4">
              <w:rPr>
                <w:rFonts w:ascii="Arial Narrow" w:hAnsi="Arial Narrow"/>
                <w:lang w:val="hr-HR"/>
              </w:rPr>
              <w:t>n</w:t>
            </w:r>
            <w:r w:rsidR="00843340">
              <w:rPr>
                <w:rFonts w:ascii="Arial Narrow" w:hAnsi="Arial Narrow"/>
                <w:lang w:val="hr-HR"/>
              </w:rPr>
              <w:t>o usmjerenja</w:t>
            </w:r>
            <w:r w:rsidR="00E85AB4">
              <w:rPr>
                <w:rFonts w:ascii="Arial Narrow" w:hAnsi="Arial Narrow"/>
                <w:lang w:val="hr-HR"/>
              </w:rPr>
              <w:t>.</w:t>
            </w:r>
            <w:r w:rsidR="00D76D7E" w:rsidRPr="00D76D7E">
              <w:rPr>
                <w:rFonts w:ascii="Arial Narrow" w:hAnsi="Arial Narrow"/>
                <w:lang w:val="hr-HR"/>
              </w:rPr>
              <w:t xml:space="preserve"> </w:t>
            </w:r>
            <w:r w:rsidR="00E85AB4">
              <w:rPr>
                <w:rFonts w:ascii="Arial Narrow" w:hAnsi="Arial Narrow"/>
                <w:lang w:val="hr-HR"/>
              </w:rPr>
              <w:t xml:space="preserve">Upravo kroz partnerski pristup u provedbi projektnih aktivnosti mogu se prepoznati  sličnosti i bitne razlike između takvih studijskih programa/usmjerenja, a projekti rezultirati izradom zajedničkih standarda kvalifikacija i različitih studijskih programa/usmjerenja koja nude različita visoka učilišta. </w:t>
            </w:r>
          </w:p>
        </w:tc>
      </w:tr>
      <w:tr w:rsidR="00971941" w:rsidRPr="00560A99" w14:paraId="4848B6CF" w14:textId="77777777" w:rsidTr="00D6355E">
        <w:tc>
          <w:tcPr>
            <w:tcW w:w="4508" w:type="dxa"/>
          </w:tcPr>
          <w:p w14:paraId="0AE4108A" w14:textId="0F5B18E6" w:rsidR="00971941" w:rsidRPr="00E807A6" w:rsidRDefault="000B13C2" w:rsidP="000B13C2">
            <w:pPr>
              <w:pStyle w:val="ListParagraph"/>
              <w:numPr>
                <w:ilvl w:val="0"/>
                <w:numId w:val="4"/>
              </w:numPr>
              <w:jc w:val="both"/>
              <w:rPr>
                <w:rFonts w:ascii="Arial Narrow" w:hAnsi="Arial Narrow"/>
                <w:lang w:val="hr-HR"/>
              </w:rPr>
            </w:pPr>
            <w:r w:rsidRPr="00E807A6">
              <w:rPr>
                <w:rFonts w:ascii="Arial Narrow" w:hAnsi="Arial Narrow"/>
                <w:lang w:val="hr-HR"/>
              </w:rPr>
              <w:t>Novi studijski program – što ako projekt prođe, a sektorsko vijeće ne odobri predloženi standard zanimanja ili standard kvalifikacije?</w:t>
            </w:r>
          </w:p>
        </w:tc>
        <w:tc>
          <w:tcPr>
            <w:tcW w:w="4508" w:type="dxa"/>
          </w:tcPr>
          <w:p w14:paraId="6A5B368D" w14:textId="12B0B00B" w:rsidR="00971941" w:rsidRPr="00E807A6" w:rsidRDefault="009905DF" w:rsidP="00864CB6">
            <w:pPr>
              <w:jc w:val="both"/>
              <w:rPr>
                <w:rFonts w:ascii="Arial Narrow" w:hAnsi="Arial Narrow"/>
                <w:lang w:val="hr-HR"/>
              </w:rPr>
            </w:pPr>
            <w:r>
              <w:rPr>
                <w:rFonts w:ascii="Arial Narrow" w:hAnsi="Arial Narrow"/>
                <w:lang w:val="hr-HR"/>
              </w:rPr>
              <w:t xml:space="preserve">U Uputama za prijavitelje, poglavlju 4. Kriteriji </w:t>
            </w:r>
            <w:r w:rsidR="000B13C2" w:rsidRPr="00E807A6">
              <w:rPr>
                <w:rFonts w:ascii="Arial Narrow" w:hAnsi="Arial Narrow"/>
                <w:lang w:val="hr-HR"/>
              </w:rPr>
              <w:t>prihvatljivosti</w:t>
            </w:r>
            <w:r>
              <w:rPr>
                <w:rFonts w:ascii="Arial Narrow" w:hAnsi="Arial Narrow"/>
                <w:lang w:val="hr-HR"/>
              </w:rPr>
              <w:t>,</w:t>
            </w:r>
            <w:r w:rsidR="000B13C2" w:rsidRPr="00E807A6">
              <w:rPr>
                <w:rFonts w:ascii="Arial Narrow" w:hAnsi="Arial Narrow"/>
                <w:lang w:val="hr-HR"/>
              </w:rPr>
              <w:t xml:space="preserve"> </w:t>
            </w:r>
            <w:r w:rsidRPr="009905DF">
              <w:rPr>
                <w:rFonts w:ascii="Arial Narrow" w:hAnsi="Arial Narrow"/>
                <w:lang w:val="hr-HR"/>
              </w:rPr>
              <w:t>4.2.3. Prihvatljive aktivnosti</w:t>
            </w:r>
            <w:r>
              <w:rPr>
                <w:rFonts w:ascii="Arial Narrow" w:hAnsi="Arial Narrow"/>
                <w:lang w:val="hr-HR"/>
              </w:rPr>
              <w:t>,</w:t>
            </w:r>
            <w:r w:rsidRPr="009905DF">
              <w:rPr>
                <w:rFonts w:ascii="Arial Narrow" w:hAnsi="Arial Narrow"/>
                <w:lang w:val="hr-HR"/>
              </w:rPr>
              <w:t xml:space="preserve"> </w:t>
            </w:r>
            <w:r w:rsidR="000B13C2" w:rsidRPr="00E807A6">
              <w:rPr>
                <w:rFonts w:ascii="Arial Narrow" w:hAnsi="Arial Narrow"/>
                <w:lang w:val="hr-HR"/>
              </w:rPr>
              <w:t xml:space="preserve">nije navedeno da  rezultate projekata mora odobriti nadležno sektorsko vijeće. </w:t>
            </w:r>
            <w:r>
              <w:rPr>
                <w:rFonts w:ascii="Arial Narrow" w:hAnsi="Arial Narrow"/>
                <w:lang w:val="hr-HR"/>
              </w:rPr>
              <w:t xml:space="preserve">Postupak upisa standarda zanimanja i/ili kvalifikacije u Registar HKO-a je Pravilnikom propisani postupak koji ima svoje korake, tijek i komunikacijske instrumente između predlagatelja i donositelja istih, tako da pri izradi projektnih prijedloga, a u </w:t>
            </w:r>
            <w:r w:rsidR="00864CB6">
              <w:rPr>
                <w:rFonts w:ascii="Arial Narrow" w:hAnsi="Arial Narrow"/>
                <w:lang w:val="hr-HR"/>
              </w:rPr>
              <w:t xml:space="preserve">postupku odabira projekata, </w:t>
            </w:r>
            <w:r>
              <w:rPr>
                <w:rFonts w:ascii="Arial Narrow" w:hAnsi="Arial Narrow"/>
                <w:lang w:val="hr-HR"/>
              </w:rPr>
              <w:t xml:space="preserve"> (Upute za prijavitelje, točka 6.3 ) treba imati na umu održivost rezultata projekta, ali na način da se predvide i obrazlože svi propisani postupci kako bi se </w:t>
            </w:r>
            <w:r>
              <w:rPr>
                <w:rFonts w:ascii="Arial Narrow" w:hAnsi="Arial Narrow"/>
                <w:lang w:val="hr-HR"/>
              </w:rPr>
              <w:lastRenderedPageBreak/>
              <w:t>osigurala visoka razina prihvatljivosti rezultata i pri radu sektorskih vijeća. Ali ova dva postupka su odvojena (vrednovanje projektnog prijedloga i vrednovanje prijedloga standarda za upis u Registar).</w:t>
            </w:r>
          </w:p>
        </w:tc>
      </w:tr>
      <w:tr w:rsidR="00971941" w:rsidRPr="00E81F79" w14:paraId="7CB51968" w14:textId="77777777" w:rsidTr="00D6355E">
        <w:tc>
          <w:tcPr>
            <w:tcW w:w="4508" w:type="dxa"/>
          </w:tcPr>
          <w:p w14:paraId="2899F925" w14:textId="77777777" w:rsidR="00971941" w:rsidRPr="00E807A6" w:rsidRDefault="000B13C2" w:rsidP="000B13C2">
            <w:pPr>
              <w:pStyle w:val="ListParagraph"/>
              <w:numPr>
                <w:ilvl w:val="0"/>
                <w:numId w:val="4"/>
              </w:numPr>
              <w:rPr>
                <w:rFonts w:ascii="Arial Narrow" w:hAnsi="Arial Narrow"/>
                <w:lang w:val="hr-HR"/>
              </w:rPr>
            </w:pPr>
            <w:r w:rsidRPr="00E807A6">
              <w:rPr>
                <w:rFonts w:ascii="Arial Narrow" w:hAnsi="Arial Narrow"/>
                <w:lang w:val="hr-HR"/>
              </w:rPr>
              <w:lastRenderedPageBreak/>
              <w:t>Kako će se Registar HKO-a puniti mimo projekata?</w:t>
            </w:r>
          </w:p>
        </w:tc>
        <w:tc>
          <w:tcPr>
            <w:tcW w:w="4508" w:type="dxa"/>
          </w:tcPr>
          <w:p w14:paraId="35F7C108" w14:textId="5420C0A2" w:rsidR="00971941" w:rsidRPr="00E807A6" w:rsidRDefault="000B13C2" w:rsidP="00E85AB4">
            <w:pPr>
              <w:jc w:val="both"/>
              <w:rPr>
                <w:rFonts w:ascii="Arial Narrow" w:hAnsi="Arial Narrow"/>
                <w:lang w:val="hr-HR"/>
              </w:rPr>
            </w:pPr>
            <w:r w:rsidRPr="00E807A6">
              <w:rPr>
                <w:rFonts w:ascii="Arial Narrow" w:hAnsi="Arial Narrow"/>
                <w:lang w:val="hr-HR"/>
              </w:rPr>
              <w:t xml:space="preserve">Zahtjev za upis u Registar može podnijeti svaka pravna ili fizička osoba i on ne mora biti rezultat projekta. No, uzimajući u obzir da je uspostava i provedba HKO-a jedan od strateških ciljeva Ministarstva znanosti, obrazovanja i sporta, na ovaj se način osiguravaju </w:t>
            </w:r>
            <w:r w:rsidR="00F97139">
              <w:rPr>
                <w:rFonts w:ascii="Arial Narrow" w:hAnsi="Arial Narrow"/>
                <w:lang w:val="hr-HR"/>
              </w:rPr>
              <w:t xml:space="preserve">dodatna i bespovratna </w:t>
            </w:r>
            <w:r w:rsidRPr="00E807A6">
              <w:rPr>
                <w:rFonts w:ascii="Arial Narrow" w:hAnsi="Arial Narrow"/>
                <w:lang w:val="hr-HR"/>
              </w:rPr>
              <w:t xml:space="preserve">financijska sredstva potrebna za razvoj novih standarda zanimanja, kvalifikacija i </w:t>
            </w:r>
            <w:r w:rsidR="00F97139">
              <w:rPr>
                <w:rFonts w:ascii="Arial Narrow" w:hAnsi="Arial Narrow"/>
                <w:lang w:val="hr-HR"/>
              </w:rPr>
              <w:t xml:space="preserve"> </w:t>
            </w:r>
            <w:r w:rsidRPr="00E807A6">
              <w:rPr>
                <w:rFonts w:ascii="Arial Narrow" w:hAnsi="Arial Narrow"/>
                <w:lang w:val="hr-HR"/>
              </w:rPr>
              <w:t>studijskih programa</w:t>
            </w:r>
            <w:r w:rsidR="00E85AB4">
              <w:rPr>
                <w:rFonts w:ascii="Arial Narrow" w:hAnsi="Arial Narrow"/>
                <w:lang w:val="hr-HR"/>
              </w:rPr>
              <w:t xml:space="preserve"> za njihovo stjecanje</w:t>
            </w:r>
            <w:r w:rsidRPr="00E807A6">
              <w:rPr>
                <w:rFonts w:ascii="Arial Narrow" w:hAnsi="Arial Narrow"/>
                <w:lang w:val="hr-HR"/>
              </w:rPr>
              <w:t>.</w:t>
            </w:r>
          </w:p>
        </w:tc>
      </w:tr>
      <w:tr w:rsidR="000B13C2" w:rsidRPr="00E81F79" w14:paraId="5BC4F820" w14:textId="77777777" w:rsidTr="00D6355E">
        <w:tc>
          <w:tcPr>
            <w:tcW w:w="4508" w:type="dxa"/>
          </w:tcPr>
          <w:p w14:paraId="4A9CB240" w14:textId="77777777" w:rsidR="000B13C2" w:rsidRPr="00E807A6" w:rsidRDefault="000B13C2" w:rsidP="00731101">
            <w:pPr>
              <w:pStyle w:val="ListParagraph"/>
              <w:numPr>
                <w:ilvl w:val="0"/>
                <w:numId w:val="4"/>
              </w:numPr>
              <w:jc w:val="both"/>
              <w:rPr>
                <w:rFonts w:ascii="Arial Narrow" w:hAnsi="Arial Narrow"/>
                <w:lang w:val="hr-HR"/>
              </w:rPr>
            </w:pPr>
            <w:r w:rsidRPr="00E807A6">
              <w:rPr>
                <w:rFonts w:ascii="Arial Narrow" w:hAnsi="Arial Narrow"/>
                <w:lang w:val="hr-HR"/>
              </w:rPr>
              <w:t>Kada se mogu početi podnositi zahtjevi za upis u Registar HKO-a?</w:t>
            </w:r>
          </w:p>
        </w:tc>
        <w:tc>
          <w:tcPr>
            <w:tcW w:w="4508" w:type="dxa"/>
          </w:tcPr>
          <w:p w14:paraId="786F2AAC" w14:textId="078AE93C" w:rsidR="000B13C2" w:rsidRPr="00E807A6" w:rsidRDefault="000B13C2" w:rsidP="00E85AB4">
            <w:pPr>
              <w:jc w:val="both"/>
              <w:rPr>
                <w:rFonts w:ascii="Arial Narrow" w:hAnsi="Arial Narrow"/>
                <w:lang w:val="hr-HR"/>
              </w:rPr>
            </w:pPr>
            <w:r w:rsidRPr="00E807A6">
              <w:rPr>
                <w:rFonts w:ascii="Arial Narrow" w:hAnsi="Arial Narrow"/>
                <w:lang w:val="hr-HR"/>
              </w:rPr>
              <w:t xml:space="preserve">Zahtjevi za upis u Registar HKO-a podnose se </w:t>
            </w:r>
            <w:r w:rsidR="00A76CB0" w:rsidRPr="00E807A6">
              <w:rPr>
                <w:rFonts w:ascii="Arial Narrow" w:hAnsi="Arial Narrow"/>
                <w:lang w:val="hr-HR"/>
              </w:rPr>
              <w:t>nadležn</w:t>
            </w:r>
            <w:r w:rsidR="00A76CB0">
              <w:rPr>
                <w:rFonts w:ascii="Arial Narrow" w:hAnsi="Arial Narrow"/>
                <w:lang w:val="hr-HR"/>
              </w:rPr>
              <w:t>im</w:t>
            </w:r>
            <w:r w:rsidR="00A76CB0" w:rsidRPr="00E807A6">
              <w:rPr>
                <w:rFonts w:ascii="Arial Narrow" w:hAnsi="Arial Narrow"/>
                <w:lang w:val="hr-HR"/>
              </w:rPr>
              <w:t xml:space="preserve"> </w:t>
            </w:r>
            <w:r w:rsidR="00A76CB0">
              <w:rPr>
                <w:rFonts w:ascii="Arial Narrow" w:hAnsi="Arial Narrow"/>
                <w:lang w:val="hr-HR"/>
              </w:rPr>
              <w:t xml:space="preserve"> </w:t>
            </w:r>
            <w:r w:rsidR="00A76CB0" w:rsidRPr="00E807A6">
              <w:rPr>
                <w:rFonts w:ascii="Arial Narrow" w:hAnsi="Arial Narrow"/>
                <w:lang w:val="hr-HR"/>
              </w:rPr>
              <w:t>ministarstv</w:t>
            </w:r>
            <w:r w:rsidR="00A76CB0">
              <w:rPr>
                <w:rFonts w:ascii="Arial Narrow" w:hAnsi="Arial Narrow"/>
                <w:lang w:val="hr-HR"/>
              </w:rPr>
              <w:t xml:space="preserve">ima (obrazovanje i rad) </w:t>
            </w:r>
            <w:r w:rsidR="00A76CB0" w:rsidRPr="00E807A6">
              <w:rPr>
                <w:rFonts w:ascii="Arial Narrow" w:hAnsi="Arial Narrow"/>
                <w:lang w:val="hr-HR"/>
              </w:rPr>
              <w:t>koj</w:t>
            </w:r>
            <w:r w:rsidR="00A76CB0">
              <w:rPr>
                <w:rFonts w:ascii="Arial Narrow" w:hAnsi="Arial Narrow"/>
                <w:lang w:val="hr-HR"/>
              </w:rPr>
              <w:t>a</w:t>
            </w:r>
            <w:r w:rsidRPr="00E807A6">
              <w:rPr>
                <w:rFonts w:ascii="Arial Narrow" w:hAnsi="Arial Narrow"/>
                <w:lang w:val="hr-HR"/>
              </w:rPr>
              <w:t xml:space="preserve">, nakon formalne provjere, </w:t>
            </w:r>
            <w:r w:rsidR="00A76CB0" w:rsidRPr="00E807A6">
              <w:rPr>
                <w:rFonts w:ascii="Arial Narrow" w:hAnsi="Arial Narrow"/>
                <w:lang w:val="hr-HR"/>
              </w:rPr>
              <w:t>prosljeđuj</w:t>
            </w:r>
            <w:r w:rsidR="00A76CB0">
              <w:rPr>
                <w:rFonts w:ascii="Arial Narrow" w:hAnsi="Arial Narrow"/>
                <w:lang w:val="hr-HR"/>
              </w:rPr>
              <w:t>u</w:t>
            </w:r>
            <w:r w:rsidR="00A76CB0" w:rsidRPr="00E807A6">
              <w:rPr>
                <w:rFonts w:ascii="Arial Narrow" w:hAnsi="Arial Narrow"/>
                <w:lang w:val="hr-HR"/>
              </w:rPr>
              <w:t xml:space="preserve"> </w:t>
            </w:r>
            <w:r w:rsidRPr="00E807A6">
              <w:rPr>
                <w:rFonts w:ascii="Arial Narrow" w:hAnsi="Arial Narrow"/>
                <w:lang w:val="hr-HR"/>
              </w:rPr>
              <w:t xml:space="preserve">zahtjev nadležnom sektorskom vijeću koje obavlja stručno vrednovanje i donosi mišljenje o predloženom zahtjevu. Na temelju pozitivnog mišljenja sektorskog vijeća, nadležni ministar donosi odluku o upisu u Registar HKO-a. Prvi zahtjevi za upis u Registar HKO-a </w:t>
            </w:r>
            <w:r w:rsidR="00A76CB0">
              <w:rPr>
                <w:rFonts w:ascii="Arial Narrow" w:hAnsi="Arial Narrow"/>
                <w:lang w:val="hr-HR"/>
              </w:rPr>
              <w:t xml:space="preserve"> će </w:t>
            </w:r>
            <w:r w:rsidRPr="00E807A6">
              <w:rPr>
                <w:rFonts w:ascii="Arial Narrow" w:hAnsi="Arial Narrow"/>
                <w:lang w:val="hr-HR"/>
              </w:rPr>
              <w:t xml:space="preserve"> biti vrednovani </w:t>
            </w:r>
            <w:r w:rsidR="00E85AB4">
              <w:rPr>
                <w:rFonts w:ascii="Arial Narrow" w:hAnsi="Arial Narrow"/>
                <w:lang w:val="hr-HR"/>
              </w:rPr>
              <w:t>kad</w:t>
            </w:r>
            <w:r w:rsidR="00E85AB4" w:rsidRPr="00E807A6">
              <w:rPr>
                <w:rFonts w:ascii="Arial Narrow" w:hAnsi="Arial Narrow"/>
                <w:lang w:val="hr-HR"/>
              </w:rPr>
              <w:t xml:space="preserve"> </w:t>
            </w:r>
            <w:r w:rsidRPr="00E807A6">
              <w:rPr>
                <w:rFonts w:ascii="Arial Narrow" w:hAnsi="Arial Narrow"/>
                <w:lang w:val="hr-HR"/>
              </w:rPr>
              <w:t>se uspostave nadležna sektorska vijeća. Do kraja 2014. godine bit će uspostavljeno šest sektorskih vijeća</w:t>
            </w:r>
            <w:r w:rsidR="00A76CB0">
              <w:rPr>
                <w:rFonts w:ascii="Arial Narrow" w:hAnsi="Arial Narrow"/>
                <w:lang w:val="hr-HR"/>
              </w:rPr>
              <w:t>,</w:t>
            </w:r>
            <w:r w:rsidRPr="00E807A6">
              <w:rPr>
                <w:rFonts w:ascii="Arial Narrow" w:hAnsi="Arial Narrow"/>
                <w:lang w:val="hr-HR"/>
              </w:rPr>
              <w:t xml:space="preserve"> dok će preostalih devetnaest biti uspostavljeno u 2015. godini. Podsjećamo da sudjelovanjem u on-line anketi </w:t>
            </w:r>
            <w:r w:rsidR="00E85AB4">
              <w:rPr>
                <w:rFonts w:ascii="Arial Narrow" w:hAnsi="Arial Narrow"/>
                <w:lang w:val="hr-HR"/>
              </w:rPr>
              <w:t>(</w:t>
            </w:r>
            <w:hyperlink r:id="rId9" w:history="1">
              <w:r w:rsidR="00E85AB4" w:rsidRPr="001C3440">
                <w:rPr>
                  <w:rStyle w:val="Hyperlink"/>
                  <w:rFonts w:ascii="Arial Narrow" w:hAnsi="Arial Narrow"/>
                  <w:lang w:val="hr-HR"/>
                </w:rPr>
                <w:t>www.kvalifikacije.hr</w:t>
              </w:r>
            </w:hyperlink>
            <w:r w:rsidR="00E85AB4">
              <w:rPr>
                <w:rFonts w:ascii="Arial Narrow" w:hAnsi="Arial Narrow"/>
                <w:lang w:val="hr-HR"/>
              </w:rPr>
              <w:t xml:space="preserve">) </w:t>
            </w:r>
            <w:r w:rsidRPr="00E807A6">
              <w:rPr>
                <w:rFonts w:ascii="Arial Narrow" w:hAnsi="Arial Narrow"/>
                <w:lang w:val="hr-HR"/>
              </w:rPr>
              <w:t>možete odabrati sektorska vijeća za koja smatrate da pripadaju sektorima od najvećega gospodarskog značaja za Republiku Hrvatsku.</w:t>
            </w:r>
          </w:p>
        </w:tc>
      </w:tr>
      <w:tr w:rsidR="000B13C2" w:rsidRPr="00E81F79" w14:paraId="4766B3A3" w14:textId="77777777" w:rsidTr="00D6355E">
        <w:tc>
          <w:tcPr>
            <w:tcW w:w="4508" w:type="dxa"/>
          </w:tcPr>
          <w:p w14:paraId="29C02C5C" w14:textId="77777777" w:rsidR="008B7AB1" w:rsidRPr="00E807A6" w:rsidRDefault="008B7AB1" w:rsidP="00731101">
            <w:pPr>
              <w:pStyle w:val="ListParagraph"/>
              <w:numPr>
                <w:ilvl w:val="0"/>
                <w:numId w:val="4"/>
              </w:numPr>
              <w:jc w:val="both"/>
              <w:rPr>
                <w:rFonts w:ascii="Arial Narrow" w:hAnsi="Arial Narrow"/>
                <w:lang w:val="hr-HR"/>
              </w:rPr>
            </w:pPr>
            <w:r w:rsidRPr="00E807A6">
              <w:rPr>
                <w:rFonts w:ascii="Arial Narrow" w:hAnsi="Arial Narrow"/>
                <w:lang w:val="hr-HR"/>
              </w:rPr>
              <w:t>Kojim su propisima regulirane naknade za obavljanje stručne prakse i mogu li studenti sudjelovati u provedbi projektnih aktivnosti?</w:t>
            </w:r>
          </w:p>
          <w:p w14:paraId="4C72851C" w14:textId="77777777" w:rsidR="000B13C2" w:rsidRPr="00E807A6" w:rsidRDefault="000B13C2" w:rsidP="00731101">
            <w:pPr>
              <w:pStyle w:val="ListParagraph"/>
              <w:jc w:val="both"/>
              <w:rPr>
                <w:rFonts w:ascii="Arial Narrow" w:hAnsi="Arial Narrow"/>
                <w:lang w:val="hr-HR"/>
              </w:rPr>
            </w:pPr>
          </w:p>
        </w:tc>
        <w:tc>
          <w:tcPr>
            <w:tcW w:w="4508" w:type="dxa"/>
          </w:tcPr>
          <w:p w14:paraId="12651F47" w14:textId="5F2B72B9" w:rsidR="00C900C8" w:rsidRDefault="00C900C8" w:rsidP="00C900C8">
            <w:pPr>
              <w:jc w:val="both"/>
              <w:rPr>
                <w:rFonts w:ascii="Arial Narrow" w:hAnsi="Arial Narrow"/>
                <w:lang w:val="hr-HR"/>
              </w:rPr>
            </w:pPr>
            <w:r>
              <w:rPr>
                <w:rFonts w:ascii="Arial Narrow" w:hAnsi="Arial Narrow"/>
                <w:lang w:val="hr-HR"/>
              </w:rPr>
              <w:t xml:space="preserve">U Uputama za prijavitelje navedene su prihvatljive aktivnosti (točka 4.2.3.) među kojima je moguće naći i sljedeće: </w:t>
            </w:r>
          </w:p>
          <w:p w14:paraId="4C6DA0DD" w14:textId="77777777" w:rsidR="00C900C8" w:rsidRPr="00C900C8" w:rsidRDefault="00C900C8" w:rsidP="00C900C8">
            <w:pPr>
              <w:jc w:val="both"/>
              <w:rPr>
                <w:rFonts w:ascii="Arial Narrow" w:hAnsi="Arial Narrow"/>
                <w:lang w:val="hr-HR"/>
              </w:rPr>
            </w:pPr>
            <w:r>
              <w:rPr>
                <w:rFonts w:ascii="Arial Narrow" w:hAnsi="Arial Narrow"/>
                <w:lang w:val="hr-HR"/>
              </w:rPr>
              <w:t xml:space="preserve">- </w:t>
            </w:r>
            <w:r w:rsidRPr="00C900C8">
              <w:rPr>
                <w:rFonts w:ascii="Arial Narrow" w:hAnsi="Arial Narrow"/>
                <w:lang w:val="hr-HR"/>
              </w:rPr>
              <w:t xml:space="preserve">Razvoj i/ili provedba studenske prakse izražene u ishodima učenja i usklađenim s odgovarajućim standardima kvalifikacija i razvoj i primjena provjere i vrednovanja ishoda učenja stečenih studenskom praksom; </w:t>
            </w:r>
          </w:p>
          <w:p w14:paraId="4C108233" w14:textId="77777777" w:rsidR="0077005D" w:rsidRDefault="00C900C8" w:rsidP="00C900C8">
            <w:pPr>
              <w:jc w:val="both"/>
              <w:rPr>
                <w:rFonts w:ascii="Arial Narrow" w:hAnsi="Arial Narrow"/>
                <w:lang w:val="hr-HR"/>
              </w:rPr>
            </w:pPr>
            <w:r>
              <w:rPr>
                <w:rFonts w:ascii="Arial Narrow" w:hAnsi="Arial Narrow"/>
                <w:lang w:val="hr-HR"/>
              </w:rPr>
              <w:t xml:space="preserve">- </w:t>
            </w:r>
            <w:r w:rsidRPr="00C900C8">
              <w:rPr>
                <w:rFonts w:ascii="Arial Narrow" w:hAnsi="Arial Narrow"/>
                <w:lang w:val="hr-HR"/>
              </w:rPr>
              <w:t>Razvoj i/ili uspostava modela obavljanja studentske prakse (npr. uspostavom suradnje sa zainteresiranim dionicima)</w:t>
            </w:r>
            <w:r w:rsidR="0077005D">
              <w:rPr>
                <w:rFonts w:ascii="Arial Narrow" w:hAnsi="Arial Narrow"/>
                <w:lang w:val="hr-HR"/>
              </w:rPr>
              <w:t>;</w:t>
            </w:r>
          </w:p>
          <w:p w14:paraId="53D64E31" w14:textId="77777777" w:rsidR="00233878" w:rsidRDefault="00233878" w:rsidP="00C900C8">
            <w:pPr>
              <w:jc w:val="both"/>
              <w:rPr>
                <w:rFonts w:ascii="Arial Narrow" w:hAnsi="Arial Narrow"/>
                <w:lang w:val="hr-HR"/>
              </w:rPr>
            </w:pPr>
          </w:p>
          <w:p w14:paraId="60696C25" w14:textId="6D85B70D" w:rsidR="00E81F79" w:rsidRPr="00E807A6" w:rsidRDefault="00993DFA" w:rsidP="00993DFA">
            <w:pPr>
              <w:jc w:val="both"/>
              <w:rPr>
                <w:rFonts w:ascii="Arial Narrow" w:hAnsi="Arial Narrow"/>
                <w:lang w:val="hr-HR"/>
              </w:rPr>
            </w:pPr>
            <w:r>
              <w:rPr>
                <w:rFonts w:ascii="Arial Narrow" w:hAnsi="Arial Narrow"/>
                <w:lang w:val="hr-HR"/>
              </w:rPr>
              <w:t>Prema Uputama za prijavitelje točka</w:t>
            </w:r>
            <w:r w:rsidRPr="00993DFA">
              <w:rPr>
                <w:rFonts w:ascii="Arial Narrow" w:hAnsi="Arial Narrow"/>
                <w:lang w:val="hr-HR"/>
              </w:rPr>
              <w:t>. 2.1., studenti preddiplomskih, diplomskih i doktorskih studija prepoznati  su kao c</w:t>
            </w:r>
            <w:r>
              <w:rPr>
                <w:rFonts w:ascii="Arial Narrow" w:hAnsi="Arial Narrow"/>
                <w:lang w:val="hr-HR"/>
              </w:rPr>
              <w:t xml:space="preserve">iljna skupina predmetnog Poziva, što znači da </w:t>
            </w:r>
            <w:r w:rsidR="0075789F" w:rsidRPr="0075789F">
              <w:rPr>
                <w:rFonts w:ascii="Arial Narrow" w:hAnsi="Arial Narrow"/>
                <w:lang w:val="hr-HR"/>
              </w:rPr>
              <w:t>mogu sudjelovati u projektni</w:t>
            </w:r>
            <w:r w:rsidR="00116574">
              <w:rPr>
                <w:rFonts w:ascii="Arial Narrow" w:hAnsi="Arial Narrow"/>
                <w:lang w:val="hr-HR"/>
              </w:rPr>
              <w:t>m</w:t>
            </w:r>
            <w:r>
              <w:rPr>
                <w:rFonts w:ascii="Arial Narrow" w:hAnsi="Arial Narrow"/>
                <w:lang w:val="hr-HR"/>
              </w:rPr>
              <w:t xml:space="preserve"> aktivnostima. P</w:t>
            </w:r>
            <w:r w:rsidR="006F1FC1">
              <w:rPr>
                <w:rFonts w:ascii="Arial Narrow" w:hAnsi="Arial Narrow"/>
                <w:lang w:val="hr-HR"/>
              </w:rPr>
              <w:t xml:space="preserve">ri planiranju </w:t>
            </w:r>
            <w:r w:rsidR="00233878">
              <w:rPr>
                <w:rFonts w:ascii="Arial Narrow" w:hAnsi="Arial Narrow"/>
                <w:lang w:val="hr-HR"/>
              </w:rPr>
              <w:t xml:space="preserve">tih </w:t>
            </w:r>
            <w:r w:rsidR="006F1FC1">
              <w:rPr>
                <w:rFonts w:ascii="Arial Narrow" w:hAnsi="Arial Narrow"/>
                <w:lang w:val="hr-HR"/>
              </w:rPr>
              <w:t xml:space="preserve">aktivnosti te </w:t>
            </w:r>
            <w:r w:rsidR="00864CB6">
              <w:rPr>
                <w:rFonts w:ascii="Arial Narrow" w:hAnsi="Arial Narrow"/>
                <w:lang w:val="hr-HR"/>
              </w:rPr>
              <w:t>pripadajućih troškova obvezni ste  konzultirati</w:t>
            </w:r>
            <w:r w:rsidR="006F1FC1">
              <w:rPr>
                <w:rFonts w:ascii="Arial Narrow" w:hAnsi="Arial Narrow"/>
                <w:lang w:val="hr-HR"/>
              </w:rPr>
              <w:t xml:space="preserve"> </w:t>
            </w:r>
            <w:r w:rsidR="00F877E3">
              <w:rPr>
                <w:rFonts w:ascii="Arial Narrow" w:hAnsi="Arial Narrow"/>
                <w:lang w:val="hr-HR"/>
              </w:rPr>
              <w:t xml:space="preserve">relevantne nacionalne propise i </w:t>
            </w:r>
            <w:r w:rsidR="006F1FC1">
              <w:rPr>
                <w:rFonts w:ascii="Arial Narrow" w:hAnsi="Arial Narrow"/>
                <w:lang w:val="hr-HR"/>
              </w:rPr>
              <w:t xml:space="preserve"> pravne akte</w:t>
            </w:r>
            <w:r w:rsidR="00864CB6">
              <w:rPr>
                <w:rFonts w:ascii="Arial Narrow" w:hAnsi="Arial Narrow"/>
                <w:lang w:val="hr-HR"/>
              </w:rPr>
              <w:t xml:space="preserve"> kojima je regulirano ovo područje</w:t>
            </w:r>
            <w:r>
              <w:rPr>
                <w:rFonts w:ascii="Arial Narrow" w:hAnsi="Arial Narrow"/>
                <w:lang w:val="hr-HR"/>
              </w:rPr>
              <w:t>, a za troškove sudjelovanja ciljnih skupina u projektnim aktivnostima upućujemo na Upute</w:t>
            </w:r>
            <w:r w:rsidR="00233878">
              <w:rPr>
                <w:rFonts w:ascii="Arial Narrow" w:hAnsi="Arial Narrow"/>
                <w:lang w:val="hr-HR"/>
              </w:rPr>
              <w:t xml:space="preserve"> za prijavitelje, poglavlje 4, </w:t>
            </w:r>
            <w:r>
              <w:rPr>
                <w:rFonts w:ascii="Arial Narrow" w:hAnsi="Arial Narrow"/>
                <w:lang w:val="hr-HR"/>
              </w:rPr>
              <w:t>Kriteriji prihvatljivosti, točke</w:t>
            </w:r>
            <w:r w:rsidR="00233878">
              <w:rPr>
                <w:rFonts w:ascii="Arial Narrow" w:hAnsi="Arial Narrow"/>
                <w:lang w:val="hr-HR"/>
              </w:rPr>
              <w:t xml:space="preserve"> </w:t>
            </w:r>
            <w:r w:rsidR="00233878" w:rsidRPr="00A76CB0">
              <w:rPr>
                <w:rFonts w:ascii="Arial Narrow" w:hAnsi="Arial Narrow"/>
                <w:lang w:val="hr-HR"/>
              </w:rPr>
              <w:t xml:space="preserve">4.3.1. </w:t>
            </w:r>
            <w:r>
              <w:rPr>
                <w:rFonts w:ascii="Arial Narrow" w:hAnsi="Arial Narrow"/>
                <w:lang w:val="hr-HR"/>
              </w:rPr>
              <w:t xml:space="preserve">i 4.3.2. </w:t>
            </w:r>
            <w:r w:rsidR="00233878">
              <w:rPr>
                <w:rFonts w:ascii="Arial Narrow" w:hAnsi="Arial Narrow"/>
                <w:lang w:val="hr-HR"/>
              </w:rPr>
              <w:t xml:space="preserve"> </w:t>
            </w:r>
          </w:p>
        </w:tc>
      </w:tr>
      <w:tr w:rsidR="008B7AB1" w:rsidRPr="00A14381" w14:paraId="1AF00FF6" w14:textId="77777777" w:rsidTr="00D6355E">
        <w:tc>
          <w:tcPr>
            <w:tcW w:w="4508" w:type="dxa"/>
          </w:tcPr>
          <w:p w14:paraId="7096AD9D" w14:textId="53339320" w:rsidR="008B7AB1" w:rsidRPr="00A14381" w:rsidRDefault="008B7AB1" w:rsidP="00A14381">
            <w:pPr>
              <w:pStyle w:val="ListParagraph"/>
              <w:numPr>
                <w:ilvl w:val="0"/>
                <w:numId w:val="4"/>
              </w:numPr>
              <w:jc w:val="both"/>
              <w:rPr>
                <w:rFonts w:ascii="Arial Narrow" w:hAnsi="Arial Narrow"/>
                <w:lang w:val="hr-HR"/>
              </w:rPr>
            </w:pPr>
            <w:r w:rsidRPr="00E807A6">
              <w:rPr>
                <w:rFonts w:ascii="Arial Narrow" w:hAnsi="Arial Narrow"/>
                <w:lang w:val="hr-HR"/>
              </w:rPr>
              <w:t xml:space="preserve">Mora li projektni prijedlog obuhvatiti sve </w:t>
            </w:r>
            <w:r w:rsidRPr="00E807A6">
              <w:rPr>
                <w:rFonts w:ascii="Arial Narrow" w:hAnsi="Arial Narrow"/>
                <w:lang w:val="hr-HR"/>
              </w:rPr>
              <w:lastRenderedPageBreak/>
              <w:t>specifične ciljeve i sve indikatore ili samo jedan od navedenih?</w:t>
            </w:r>
          </w:p>
        </w:tc>
        <w:tc>
          <w:tcPr>
            <w:tcW w:w="4508" w:type="dxa"/>
          </w:tcPr>
          <w:p w14:paraId="5F8F63AF" w14:textId="01512DA7" w:rsidR="008B7AB1" w:rsidRPr="00E807A6" w:rsidRDefault="008B7AB1" w:rsidP="006F1FC1">
            <w:pPr>
              <w:jc w:val="both"/>
              <w:rPr>
                <w:rFonts w:ascii="Arial Narrow" w:hAnsi="Arial Narrow"/>
                <w:lang w:val="hr-HR"/>
              </w:rPr>
            </w:pPr>
            <w:r w:rsidRPr="00E807A6">
              <w:rPr>
                <w:rFonts w:ascii="Arial Narrow" w:hAnsi="Arial Narrow"/>
                <w:lang w:val="hr-HR"/>
              </w:rPr>
              <w:lastRenderedPageBreak/>
              <w:t xml:space="preserve">Projektni prijedlozi moraju pridonijeti ispunjavanju </w:t>
            </w:r>
            <w:r w:rsidRPr="00E807A6">
              <w:rPr>
                <w:rFonts w:ascii="Arial Narrow" w:hAnsi="Arial Narrow"/>
                <w:lang w:val="hr-HR"/>
              </w:rPr>
              <w:lastRenderedPageBreak/>
              <w:t>svih specifičnih ciljeva i svih indikatora navedenih u Uputama za prijavitelje (</w:t>
            </w:r>
            <w:r w:rsidR="006F1FC1">
              <w:rPr>
                <w:rFonts w:ascii="Arial Narrow" w:hAnsi="Arial Narrow"/>
                <w:lang w:val="hr-HR"/>
              </w:rPr>
              <w:t>točke</w:t>
            </w:r>
            <w:r w:rsidRPr="00E807A6">
              <w:rPr>
                <w:rFonts w:ascii="Arial Narrow" w:hAnsi="Arial Narrow"/>
                <w:lang w:val="hr-HR"/>
              </w:rPr>
              <w:t xml:space="preserve"> 2.1.  i 2.3.)</w:t>
            </w:r>
          </w:p>
        </w:tc>
      </w:tr>
      <w:tr w:rsidR="008B7AB1" w:rsidRPr="00E81F79" w14:paraId="0F3BB6B2" w14:textId="77777777" w:rsidTr="00D6355E">
        <w:tc>
          <w:tcPr>
            <w:tcW w:w="4508" w:type="dxa"/>
          </w:tcPr>
          <w:p w14:paraId="06A10C9D" w14:textId="77777777" w:rsidR="008B7AB1" w:rsidRPr="00E807A6" w:rsidRDefault="008B7AB1" w:rsidP="00731101">
            <w:pPr>
              <w:pStyle w:val="ListParagraph"/>
              <w:numPr>
                <w:ilvl w:val="0"/>
                <w:numId w:val="4"/>
              </w:numPr>
              <w:jc w:val="both"/>
              <w:rPr>
                <w:rFonts w:ascii="Arial Narrow" w:hAnsi="Arial Narrow"/>
                <w:lang w:val="hr-HR"/>
              </w:rPr>
            </w:pPr>
            <w:r w:rsidRPr="00E807A6">
              <w:rPr>
                <w:rFonts w:ascii="Arial Narrow" w:hAnsi="Arial Narrow"/>
                <w:lang w:val="hr-HR"/>
              </w:rPr>
              <w:lastRenderedPageBreak/>
              <w:t>Budući da su kao prihvatljivi prijavitelji navedene sastavnice sveučilišta (fakulteti) i da prijavitelj ne može podnijeti više od jedne prijave, moraju li u jednom projektnom prijedlogu zajednički aplicirati svi odsjeci zajedno i koliko ih može sudjelovati?</w:t>
            </w:r>
          </w:p>
          <w:p w14:paraId="6B6D9802" w14:textId="77777777" w:rsidR="008B7AB1" w:rsidRPr="00E807A6" w:rsidRDefault="008B7AB1" w:rsidP="00731101">
            <w:pPr>
              <w:pStyle w:val="ListParagraph"/>
              <w:jc w:val="both"/>
              <w:rPr>
                <w:rFonts w:ascii="Arial Narrow" w:hAnsi="Arial Narrow"/>
                <w:lang w:val="hr-HR"/>
              </w:rPr>
            </w:pPr>
          </w:p>
        </w:tc>
        <w:tc>
          <w:tcPr>
            <w:tcW w:w="4508" w:type="dxa"/>
          </w:tcPr>
          <w:p w14:paraId="666D6EAC" w14:textId="16DA63F1" w:rsidR="008B7AB1" w:rsidRPr="00E807A6" w:rsidRDefault="008224E3" w:rsidP="00A14381">
            <w:pPr>
              <w:jc w:val="both"/>
              <w:rPr>
                <w:rFonts w:ascii="Arial Narrow" w:hAnsi="Arial Narrow"/>
                <w:lang w:val="hr-HR"/>
              </w:rPr>
            </w:pPr>
            <w:r>
              <w:rPr>
                <w:rFonts w:ascii="Arial Narrow" w:hAnsi="Arial Narrow"/>
                <w:lang w:val="hr-HR"/>
              </w:rPr>
              <w:t xml:space="preserve">U </w:t>
            </w:r>
            <w:r w:rsidRPr="00E807A6">
              <w:rPr>
                <w:rFonts w:ascii="Arial Narrow" w:hAnsi="Arial Narrow"/>
                <w:lang w:val="hr-HR"/>
              </w:rPr>
              <w:t>Uput</w:t>
            </w:r>
            <w:r>
              <w:rPr>
                <w:rFonts w:ascii="Arial Narrow" w:hAnsi="Arial Narrow"/>
                <w:lang w:val="hr-HR"/>
              </w:rPr>
              <w:t>ama</w:t>
            </w:r>
            <w:r w:rsidRPr="00E807A6">
              <w:rPr>
                <w:rFonts w:ascii="Arial Narrow" w:hAnsi="Arial Narrow"/>
                <w:lang w:val="hr-HR"/>
              </w:rPr>
              <w:t xml:space="preserve"> </w:t>
            </w:r>
            <w:r w:rsidR="008B7AB1" w:rsidRPr="00E807A6">
              <w:rPr>
                <w:rFonts w:ascii="Arial Narrow" w:hAnsi="Arial Narrow"/>
                <w:lang w:val="hr-HR"/>
              </w:rPr>
              <w:t>za prijavitelje</w:t>
            </w:r>
            <w:r>
              <w:rPr>
                <w:rFonts w:ascii="Arial Narrow" w:hAnsi="Arial Narrow"/>
                <w:lang w:val="hr-HR"/>
              </w:rPr>
              <w:t xml:space="preserve">, točka </w:t>
            </w:r>
            <w:r w:rsidR="00864CB6">
              <w:rPr>
                <w:rFonts w:ascii="Arial Narrow" w:hAnsi="Arial Narrow"/>
                <w:lang w:val="hr-HR"/>
              </w:rPr>
              <w:t xml:space="preserve"> </w:t>
            </w:r>
            <w:r w:rsidRPr="008224E3">
              <w:rPr>
                <w:rFonts w:ascii="Arial Narrow" w:hAnsi="Arial Narrow"/>
                <w:lang w:val="hr-HR"/>
              </w:rPr>
              <w:t>4.1.1.</w:t>
            </w:r>
            <w:r w:rsidR="00A14381">
              <w:rPr>
                <w:rFonts w:ascii="Arial Narrow" w:hAnsi="Arial Narrow"/>
                <w:lang w:val="hr-HR"/>
              </w:rPr>
              <w:t xml:space="preserve"> </w:t>
            </w:r>
            <w:r>
              <w:rPr>
                <w:rFonts w:ascii="Arial Narrow" w:hAnsi="Arial Narrow"/>
                <w:lang w:val="hr-HR"/>
              </w:rPr>
              <w:t xml:space="preserve">navedeno je </w:t>
            </w:r>
            <w:r w:rsidR="006F1FC1">
              <w:rPr>
                <w:rFonts w:ascii="Arial Narrow" w:hAnsi="Arial Narrow"/>
                <w:lang w:val="hr-HR"/>
              </w:rPr>
              <w:t>da su</w:t>
            </w:r>
            <w:r w:rsidRPr="008224E3">
              <w:rPr>
                <w:rFonts w:ascii="Arial Narrow" w:hAnsi="Arial Narrow"/>
                <w:lang w:val="hr-HR"/>
              </w:rPr>
              <w:t xml:space="preserve"> </w:t>
            </w:r>
            <w:r w:rsidR="006F1FC1">
              <w:rPr>
                <w:rFonts w:ascii="Arial Narrow" w:hAnsi="Arial Narrow"/>
                <w:lang w:val="hr-HR"/>
              </w:rPr>
              <w:t>p</w:t>
            </w:r>
            <w:r w:rsidRPr="008224E3">
              <w:rPr>
                <w:rFonts w:ascii="Arial Narrow" w:hAnsi="Arial Narrow"/>
                <w:lang w:val="hr-HR"/>
              </w:rPr>
              <w:t xml:space="preserve">rihvatljivi prijavitelji </w:t>
            </w:r>
            <w:r>
              <w:rPr>
                <w:rFonts w:ascii="Arial Narrow" w:hAnsi="Arial Narrow"/>
                <w:lang w:val="hr-HR"/>
              </w:rPr>
              <w:t>v</w:t>
            </w:r>
            <w:r w:rsidRPr="008224E3">
              <w:rPr>
                <w:rFonts w:ascii="Arial Narrow" w:hAnsi="Arial Narrow"/>
                <w:lang w:val="hr-HR"/>
              </w:rPr>
              <w:t>isoka učilišta (tj. sveučilišta, sastavnice sveučilišta, veleučilišta, visoke škole)</w:t>
            </w:r>
            <w:r>
              <w:rPr>
                <w:rFonts w:ascii="Arial Narrow" w:hAnsi="Arial Narrow"/>
                <w:lang w:val="hr-HR"/>
              </w:rPr>
              <w:t>,</w:t>
            </w:r>
            <w:r w:rsidRPr="008224E3">
              <w:rPr>
                <w:rFonts w:ascii="Arial Narrow" w:hAnsi="Arial Narrow"/>
                <w:lang w:val="hr-HR"/>
              </w:rPr>
              <w:t xml:space="preserve"> </w:t>
            </w:r>
            <w:r>
              <w:rPr>
                <w:rFonts w:ascii="Arial Narrow" w:hAnsi="Arial Narrow"/>
                <w:lang w:val="hr-HR"/>
              </w:rPr>
              <w:t>j</w:t>
            </w:r>
            <w:r w:rsidRPr="008224E3">
              <w:rPr>
                <w:rFonts w:ascii="Arial Narrow" w:hAnsi="Arial Narrow"/>
                <w:lang w:val="hr-HR"/>
              </w:rPr>
              <w:t>avne ustanove zadužene za razvoj/provedbu obrazovnih politika</w:t>
            </w:r>
            <w:r w:rsidR="006F1FC1">
              <w:rPr>
                <w:rFonts w:ascii="Arial Narrow" w:hAnsi="Arial Narrow"/>
                <w:lang w:val="hr-HR"/>
              </w:rPr>
              <w:t xml:space="preserve"> te </w:t>
            </w:r>
            <w:r>
              <w:rPr>
                <w:rFonts w:ascii="Arial Narrow" w:hAnsi="Arial Narrow"/>
                <w:lang w:val="hr-HR"/>
              </w:rPr>
              <w:t>z</w:t>
            </w:r>
            <w:r w:rsidRPr="008224E3">
              <w:rPr>
                <w:rFonts w:ascii="Arial Narrow" w:hAnsi="Arial Narrow"/>
                <w:lang w:val="hr-HR"/>
              </w:rPr>
              <w:t>nanstvene organizacije</w:t>
            </w:r>
            <w:r w:rsidR="00864CB6">
              <w:rPr>
                <w:rFonts w:ascii="Arial Narrow" w:hAnsi="Arial Narrow"/>
                <w:lang w:val="hr-HR"/>
              </w:rPr>
              <w:t>, a t</w:t>
            </w:r>
            <w:r w:rsidR="006F1FC1">
              <w:rPr>
                <w:rFonts w:ascii="Arial Narrow" w:hAnsi="Arial Narrow"/>
                <w:lang w:val="hr-HR"/>
              </w:rPr>
              <w:t xml:space="preserve">očka 4.1.2. propisuje uvjete prihvatljivosti koji se moraju ispuniti da bi prijavitelj bio prihvatljiv. </w:t>
            </w:r>
            <w:r w:rsidR="009F4A76">
              <w:rPr>
                <w:rFonts w:ascii="Arial Narrow" w:hAnsi="Arial Narrow"/>
                <w:lang w:val="hr-HR"/>
              </w:rPr>
              <w:t>Stoga, ako različiti odsjeci imaju namjeru razvijati projektne aktivnosti, projektnu prijavu je potrebno izraditi i podnijeti u okviru jednog jedinstvenog projekta.</w:t>
            </w:r>
            <w:r w:rsidR="00A14381">
              <w:rPr>
                <w:rFonts w:ascii="Arial Narrow" w:hAnsi="Arial Narrow"/>
                <w:lang w:val="hr-HR"/>
              </w:rPr>
              <w:t xml:space="preserve"> </w:t>
            </w:r>
            <w:r w:rsidR="005B3800">
              <w:rPr>
                <w:rFonts w:ascii="Arial Narrow" w:hAnsi="Arial Narrow"/>
                <w:lang w:val="hr-HR"/>
              </w:rPr>
              <w:t xml:space="preserve">Zaključno, da bi se utvrdila prihvatljivost prijavitelja, ali i partnera iz točke 4.1., prijavitelj i partner(i) trebaju priložiti dokumentaciju prema točki 6.4. Uputa za prijavitelje izmijenjenog Poziva na dostavu projektnih prijedloga objavljenog 8. kolovoza 2014. godine. </w:t>
            </w:r>
            <w:r w:rsidR="00A14381">
              <w:rPr>
                <w:rFonts w:ascii="Arial Narrow" w:hAnsi="Arial Narrow"/>
                <w:lang w:val="hr-HR"/>
              </w:rPr>
              <w:t xml:space="preserve"> </w:t>
            </w:r>
            <w:r w:rsidR="008B7AB1" w:rsidRPr="00E807A6">
              <w:rPr>
                <w:rFonts w:ascii="Arial Narrow" w:hAnsi="Arial Narrow"/>
                <w:lang w:val="hr-HR"/>
              </w:rPr>
              <w:t>Podsjećamo da prijavitelj može istovremeno biti partner u drugoj prijavi i da partneri mogu sudjelovati u više od jedne prijave.</w:t>
            </w:r>
          </w:p>
        </w:tc>
      </w:tr>
      <w:tr w:rsidR="008B7AB1" w:rsidRPr="00560A99" w14:paraId="74C0E85D" w14:textId="77777777" w:rsidTr="00D6355E">
        <w:tc>
          <w:tcPr>
            <w:tcW w:w="4508" w:type="dxa"/>
          </w:tcPr>
          <w:p w14:paraId="00DC87F6" w14:textId="77777777" w:rsidR="008B7AB1" w:rsidRPr="00E807A6" w:rsidRDefault="008B7AB1" w:rsidP="00731101">
            <w:pPr>
              <w:pStyle w:val="ListParagraph"/>
              <w:numPr>
                <w:ilvl w:val="0"/>
                <w:numId w:val="4"/>
              </w:numPr>
              <w:jc w:val="both"/>
              <w:rPr>
                <w:rFonts w:ascii="Arial Narrow" w:hAnsi="Arial Narrow"/>
                <w:lang w:val="hr-HR"/>
              </w:rPr>
            </w:pPr>
            <w:r w:rsidRPr="00E807A6">
              <w:rPr>
                <w:rFonts w:ascii="Arial Narrow" w:hAnsi="Arial Narrow"/>
                <w:lang w:val="hr-HR"/>
              </w:rPr>
              <w:t>Postoji li mogućnost studijskih posjeta i održavanja radionica u državama izvan Hrvatske i Europe?</w:t>
            </w:r>
          </w:p>
          <w:p w14:paraId="27588BCF" w14:textId="77777777" w:rsidR="008B7AB1" w:rsidRPr="00E807A6" w:rsidRDefault="008B7AB1" w:rsidP="00731101">
            <w:pPr>
              <w:pStyle w:val="ListParagraph"/>
              <w:jc w:val="both"/>
              <w:rPr>
                <w:rFonts w:ascii="Arial Narrow" w:hAnsi="Arial Narrow"/>
                <w:lang w:val="hr-HR"/>
              </w:rPr>
            </w:pPr>
          </w:p>
        </w:tc>
        <w:tc>
          <w:tcPr>
            <w:tcW w:w="4508" w:type="dxa"/>
          </w:tcPr>
          <w:p w14:paraId="0AF85AD2" w14:textId="38BEDEF9" w:rsidR="008B7AB1" w:rsidRPr="00E807A6" w:rsidRDefault="008B7AB1" w:rsidP="009C6EE0">
            <w:pPr>
              <w:jc w:val="both"/>
              <w:rPr>
                <w:rFonts w:ascii="Arial Narrow" w:hAnsi="Arial Narrow"/>
                <w:lang w:val="hr-HR"/>
              </w:rPr>
            </w:pPr>
            <w:r w:rsidRPr="00E807A6">
              <w:rPr>
                <w:rFonts w:ascii="Arial Narrow" w:hAnsi="Arial Narrow"/>
                <w:lang w:val="hr-HR"/>
              </w:rPr>
              <w:t xml:space="preserve">U prihvatljive aktivnosti </w:t>
            </w:r>
            <w:r w:rsidR="009C6EE0">
              <w:rPr>
                <w:rFonts w:ascii="Arial Narrow" w:hAnsi="Arial Narrow"/>
                <w:lang w:val="hr-HR"/>
              </w:rPr>
              <w:t xml:space="preserve">prema Uputama za prijavitelje </w:t>
            </w:r>
            <w:r w:rsidR="00A14381">
              <w:rPr>
                <w:rFonts w:ascii="Arial Narrow" w:hAnsi="Arial Narrow"/>
                <w:lang w:val="hr-HR"/>
              </w:rPr>
              <w:t xml:space="preserve">tč. </w:t>
            </w:r>
            <w:r w:rsidR="009C6EE0">
              <w:rPr>
                <w:rFonts w:ascii="Arial Narrow" w:hAnsi="Arial Narrow"/>
                <w:lang w:val="hr-HR"/>
              </w:rPr>
              <w:t xml:space="preserve">4.2.3. navedeni su: </w:t>
            </w:r>
            <w:r w:rsidRPr="00E807A6">
              <w:rPr>
                <w:rFonts w:ascii="Arial Narrow" w:hAnsi="Arial Narrow"/>
                <w:lang w:val="hr-HR"/>
              </w:rPr>
              <w:t>studijski posjeti, radionice, seminari i konferencije u Hrvatskoj ili Europi koji su nužni za ostvarenje projektnih ciljeva.  Stoga ne postoji mogućnost studijskih posjeta i održavanja radionica u d</w:t>
            </w:r>
            <w:r w:rsidR="00A14381">
              <w:rPr>
                <w:rFonts w:ascii="Arial Narrow" w:hAnsi="Arial Narrow"/>
                <w:lang w:val="hr-HR"/>
              </w:rPr>
              <w:t>ržavama izvan Hrvatske i Europe</w:t>
            </w:r>
            <w:r w:rsidRPr="00E807A6">
              <w:rPr>
                <w:rFonts w:ascii="Arial Narrow" w:hAnsi="Arial Narrow"/>
                <w:lang w:val="hr-HR"/>
              </w:rPr>
              <w:t>.</w:t>
            </w:r>
          </w:p>
        </w:tc>
      </w:tr>
      <w:tr w:rsidR="00D6355E" w:rsidRPr="00E81F79" w14:paraId="566E750E" w14:textId="77777777" w:rsidTr="00D6355E">
        <w:tc>
          <w:tcPr>
            <w:tcW w:w="4508" w:type="dxa"/>
          </w:tcPr>
          <w:p w14:paraId="279F3794" w14:textId="3D724CB4" w:rsidR="00D6355E" w:rsidRPr="00E807A6" w:rsidRDefault="00224661" w:rsidP="00731101">
            <w:pPr>
              <w:pStyle w:val="ListParagraph"/>
              <w:numPr>
                <w:ilvl w:val="0"/>
                <w:numId w:val="4"/>
              </w:numPr>
              <w:jc w:val="both"/>
              <w:rPr>
                <w:rFonts w:ascii="Arial Narrow" w:hAnsi="Arial Narrow"/>
                <w:lang w:val="hr-HR"/>
              </w:rPr>
            </w:pPr>
            <w:r w:rsidRPr="00E807A6">
              <w:rPr>
                <w:rFonts w:ascii="Arial Narrow" w:hAnsi="Arial Narrow"/>
                <w:lang w:val="hr-HR"/>
              </w:rPr>
              <w:t>Što ako je kval</w:t>
            </w:r>
            <w:r w:rsidR="00560A99" w:rsidRPr="00E807A6">
              <w:rPr>
                <w:rFonts w:ascii="Arial Narrow" w:hAnsi="Arial Narrow"/>
                <w:lang w:val="hr-HR"/>
              </w:rPr>
              <w:t>ifikacija</w:t>
            </w:r>
            <w:r w:rsidRPr="00E807A6">
              <w:rPr>
                <w:rFonts w:ascii="Arial Narrow" w:hAnsi="Arial Narrow"/>
                <w:lang w:val="hr-HR"/>
              </w:rPr>
              <w:t xml:space="preserve"> već postojeća </w:t>
            </w:r>
            <w:r w:rsidR="00560A99" w:rsidRPr="00E807A6">
              <w:rPr>
                <w:rFonts w:ascii="Arial Narrow" w:hAnsi="Arial Narrow"/>
                <w:lang w:val="hr-HR"/>
              </w:rPr>
              <w:t>postoji</w:t>
            </w:r>
            <w:r w:rsidRPr="00E807A6">
              <w:rPr>
                <w:rFonts w:ascii="Arial Narrow" w:hAnsi="Arial Narrow"/>
                <w:lang w:val="hr-HR"/>
              </w:rPr>
              <w:t xml:space="preserve"> li mogućnost unapređivanja ili moraju samo biti nove</w:t>
            </w:r>
            <w:r w:rsidR="00323CC7">
              <w:rPr>
                <w:rFonts w:ascii="Arial Narrow" w:hAnsi="Arial Narrow"/>
                <w:lang w:val="hr-HR"/>
              </w:rPr>
              <w:t>?</w:t>
            </w:r>
          </w:p>
        </w:tc>
        <w:tc>
          <w:tcPr>
            <w:tcW w:w="4508" w:type="dxa"/>
          </w:tcPr>
          <w:p w14:paraId="2223E755" w14:textId="333934B7" w:rsidR="00D6355E" w:rsidRPr="00E807A6" w:rsidRDefault="008224E3" w:rsidP="00EA4E4F">
            <w:pPr>
              <w:jc w:val="both"/>
              <w:rPr>
                <w:rFonts w:ascii="Arial Narrow" w:hAnsi="Arial Narrow"/>
                <w:lang w:val="hr-HR"/>
              </w:rPr>
            </w:pPr>
            <w:r>
              <w:rPr>
                <w:rFonts w:ascii="Arial Narrow" w:hAnsi="Arial Narrow"/>
                <w:lang w:val="hr-HR"/>
              </w:rPr>
              <w:t>U Registru HKO-a trenutačno nema upisanoga niti jednog standarda kvalifikacije jer je za to prethodno potrebno ustanoviti sektorska vijeća sukladno Pravilniku o Registru HKO</w:t>
            </w:r>
            <w:r w:rsidR="00101800">
              <w:rPr>
                <w:rFonts w:ascii="Arial Narrow" w:hAnsi="Arial Narrow"/>
                <w:lang w:val="hr-HR"/>
              </w:rPr>
              <w:t xml:space="preserve"> -a.</w:t>
            </w:r>
          </w:p>
        </w:tc>
      </w:tr>
      <w:tr w:rsidR="00D6355E" w:rsidRPr="00E81F79" w14:paraId="38F491ED" w14:textId="77777777" w:rsidTr="00D6355E">
        <w:tc>
          <w:tcPr>
            <w:tcW w:w="4508" w:type="dxa"/>
          </w:tcPr>
          <w:p w14:paraId="668D775F" w14:textId="77777777" w:rsidR="00D6355E" w:rsidRPr="00E807A6" w:rsidRDefault="00224661" w:rsidP="00731101">
            <w:pPr>
              <w:pStyle w:val="ListParagraph"/>
              <w:numPr>
                <w:ilvl w:val="0"/>
                <w:numId w:val="4"/>
              </w:numPr>
              <w:jc w:val="both"/>
              <w:rPr>
                <w:rFonts w:ascii="Arial Narrow" w:hAnsi="Arial Narrow"/>
                <w:lang w:val="hr-HR"/>
              </w:rPr>
            </w:pPr>
            <w:r w:rsidRPr="00E807A6">
              <w:rPr>
                <w:rFonts w:ascii="Arial Narrow" w:hAnsi="Arial Narrow"/>
                <w:lang w:val="hr-HR"/>
              </w:rPr>
              <w:t>Što ako više institucija želi razviti isti standard?</w:t>
            </w:r>
          </w:p>
        </w:tc>
        <w:tc>
          <w:tcPr>
            <w:tcW w:w="4508" w:type="dxa"/>
          </w:tcPr>
          <w:p w14:paraId="5C2956D2" w14:textId="12322B2D" w:rsidR="00D6355E" w:rsidRPr="00E807A6" w:rsidRDefault="00323CC7" w:rsidP="00323CC7">
            <w:pPr>
              <w:jc w:val="both"/>
              <w:rPr>
                <w:rFonts w:ascii="Arial Narrow" w:hAnsi="Arial Narrow"/>
                <w:lang w:val="hr-HR"/>
              </w:rPr>
            </w:pPr>
            <w:r>
              <w:rPr>
                <w:rFonts w:ascii="Arial Narrow" w:hAnsi="Arial Narrow"/>
                <w:lang w:val="hr-HR"/>
              </w:rPr>
              <w:t>Ako</w:t>
            </w:r>
            <w:r w:rsidRPr="00E807A6">
              <w:rPr>
                <w:rFonts w:ascii="Arial Narrow" w:hAnsi="Arial Narrow"/>
                <w:lang w:val="hr-HR"/>
              </w:rPr>
              <w:t xml:space="preserve"> </w:t>
            </w:r>
            <w:r w:rsidR="00971941" w:rsidRPr="00E807A6">
              <w:rPr>
                <w:rFonts w:ascii="Arial Narrow" w:hAnsi="Arial Narrow"/>
                <w:lang w:val="hr-HR"/>
              </w:rPr>
              <w:t xml:space="preserve">se tijekom procesa odabira utvrdi da više projektnih prijedloga planira izradu istog standarda zanimanja ili standarda </w:t>
            </w:r>
            <w:r w:rsidR="00886A1C">
              <w:rPr>
                <w:rFonts w:ascii="Arial Narrow" w:hAnsi="Arial Narrow"/>
                <w:lang w:val="hr-HR"/>
              </w:rPr>
              <w:t xml:space="preserve"> </w:t>
            </w:r>
            <w:r w:rsidR="008224E3" w:rsidRPr="00E807A6">
              <w:rPr>
                <w:rFonts w:ascii="Arial Narrow" w:hAnsi="Arial Narrow"/>
                <w:lang w:val="hr-HR"/>
              </w:rPr>
              <w:t>kvalifikacij</w:t>
            </w:r>
            <w:r w:rsidR="008224E3">
              <w:rPr>
                <w:rFonts w:ascii="Arial Narrow" w:hAnsi="Arial Narrow"/>
                <w:lang w:val="hr-HR"/>
              </w:rPr>
              <w:t>e</w:t>
            </w:r>
            <w:r w:rsidR="00971941" w:rsidRPr="00E807A6">
              <w:rPr>
                <w:rFonts w:ascii="Arial Narrow" w:hAnsi="Arial Narrow"/>
                <w:lang w:val="hr-HR"/>
              </w:rPr>
              <w:t xml:space="preserve">, </w:t>
            </w:r>
            <w:r w:rsidR="00886A1C" w:rsidRPr="00E807A6">
              <w:rPr>
                <w:rFonts w:ascii="Arial Narrow" w:hAnsi="Arial Narrow"/>
                <w:lang w:val="hr-HR"/>
              </w:rPr>
              <w:t xml:space="preserve">u daljnju fazu provjere prihvatljivosti projekta </w:t>
            </w:r>
            <w:r w:rsidR="00886A1C">
              <w:rPr>
                <w:rFonts w:ascii="Arial Narrow" w:hAnsi="Arial Narrow"/>
                <w:lang w:val="hr-HR"/>
              </w:rPr>
              <w:t xml:space="preserve">će prijeći </w:t>
            </w:r>
            <w:r w:rsidR="00971941" w:rsidRPr="00E807A6">
              <w:rPr>
                <w:rFonts w:ascii="Arial Narrow" w:hAnsi="Arial Narrow"/>
                <w:lang w:val="hr-HR"/>
              </w:rPr>
              <w:t>projektni prijedlog</w:t>
            </w:r>
            <w:r w:rsidR="00886A1C">
              <w:rPr>
                <w:rFonts w:ascii="Arial Narrow" w:hAnsi="Arial Narrow"/>
                <w:lang w:val="hr-HR"/>
              </w:rPr>
              <w:t>/zi</w:t>
            </w:r>
            <w:r w:rsidR="00971941" w:rsidRPr="00E807A6">
              <w:rPr>
                <w:rFonts w:ascii="Arial Narrow" w:hAnsi="Arial Narrow"/>
                <w:lang w:val="hr-HR"/>
              </w:rPr>
              <w:t xml:space="preserve"> koji ostvari</w:t>
            </w:r>
            <w:r w:rsidR="00886A1C">
              <w:rPr>
                <w:rFonts w:ascii="Arial Narrow" w:hAnsi="Arial Narrow"/>
                <w:lang w:val="hr-HR"/>
              </w:rPr>
              <w:t>/e</w:t>
            </w:r>
            <w:r w:rsidR="00971941" w:rsidRPr="00E807A6">
              <w:rPr>
                <w:rFonts w:ascii="Arial Narrow" w:hAnsi="Arial Narrow"/>
                <w:lang w:val="hr-HR"/>
              </w:rPr>
              <w:t xml:space="preserve"> više bodova (Upute za prijavitelje, poglavlje 6.3. Odabir projekata).</w:t>
            </w:r>
            <w:r w:rsidR="00886A1C">
              <w:rPr>
                <w:rFonts w:ascii="Arial Narrow" w:hAnsi="Arial Narrow"/>
                <w:lang w:val="hr-HR"/>
              </w:rPr>
              <w:t xml:space="preserve"> </w:t>
            </w:r>
            <w:r w:rsidR="00971941" w:rsidRPr="00E807A6">
              <w:rPr>
                <w:rFonts w:ascii="Arial Narrow" w:hAnsi="Arial Narrow"/>
                <w:lang w:val="hr-HR"/>
              </w:rPr>
              <w:t xml:space="preserve"> Stoga </w:t>
            </w:r>
            <w:r w:rsidR="00886A1C">
              <w:rPr>
                <w:rFonts w:ascii="Arial Narrow" w:hAnsi="Arial Narrow"/>
                <w:lang w:val="hr-HR"/>
              </w:rPr>
              <w:t xml:space="preserve">pri izradi projektnih prijedloga </w:t>
            </w:r>
            <w:r w:rsidR="00971941" w:rsidRPr="00E807A6">
              <w:rPr>
                <w:rFonts w:ascii="Arial Narrow" w:hAnsi="Arial Narrow"/>
                <w:lang w:val="hr-HR"/>
              </w:rPr>
              <w:t xml:space="preserve">preporučujemo </w:t>
            </w:r>
            <w:r w:rsidR="00886A1C">
              <w:rPr>
                <w:rFonts w:ascii="Arial Narrow" w:hAnsi="Arial Narrow"/>
                <w:lang w:val="hr-HR"/>
              </w:rPr>
              <w:t xml:space="preserve">prethodne konzultacije, </w:t>
            </w:r>
            <w:r w:rsidR="00971941" w:rsidRPr="00E807A6">
              <w:rPr>
                <w:rFonts w:ascii="Arial Narrow" w:hAnsi="Arial Narrow"/>
                <w:lang w:val="hr-HR"/>
              </w:rPr>
              <w:t xml:space="preserve">umrežavanje, suradnju i uspostavu partnerstva </w:t>
            </w:r>
            <w:r w:rsidR="00886A1C">
              <w:rPr>
                <w:rFonts w:ascii="Arial Narrow" w:hAnsi="Arial Narrow"/>
                <w:lang w:val="hr-HR"/>
              </w:rPr>
              <w:t xml:space="preserve">između </w:t>
            </w:r>
            <w:r w:rsidR="00971941" w:rsidRPr="00E807A6">
              <w:rPr>
                <w:rFonts w:ascii="Arial Narrow" w:hAnsi="Arial Narrow"/>
                <w:lang w:val="hr-HR"/>
              </w:rPr>
              <w:t xml:space="preserve">različitih ustanova koje žele razvijati standarde iz istog </w:t>
            </w:r>
            <w:r w:rsidR="008224E3">
              <w:rPr>
                <w:rFonts w:ascii="Arial Narrow" w:hAnsi="Arial Narrow"/>
                <w:lang w:val="hr-HR"/>
              </w:rPr>
              <w:t xml:space="preserve"> sektora</w:t>
            </w:r>
            <w:r w:rsidR="00886A1C">
              <w:rPr>
                <w:rFonts w:ascii="Arial Narrow" w:hAnsi="Arial Narrow"/>
                <w:lang w:val="hr-HR"/>
              </w:rPr>
              <w:t xml:space="preserve">/profila te upoznavanje s postojećim propisima vezanim uz provedbu HKO–a koji mogu svojim pravilima i obrascima voditi prijavitelja prema ciljevima ovoga Poziva. </w:t>
            </w:r>
          </w:p>
        </w:tc>
      </w:tr>
      <w:tr w:rsidR="004A31A7" w:rsidRPr="00E81F79" w14:paraId="70C7D44F" w14:textId="77777777" w:rsidTr="00D6355E">
        <w:tc>
          <w:tcPr>
            <w:tcW w:w="4508" w:type="dxa"/>
          </w:tcPr>
          <w:p w14:paraId="31E44B6A" w14:textId="041C6C32" w:rsidR="004A31A7" w:rsidRPr="004A51F3" w:rsidRDefault="004A31A7" w:rsidP="004A31A7">
            <w:pPr>
              <w:pStyle w:val="ListParagraph"/>
              <w:numPr>
                <w:ilvl w:val="0"/>
                <w:numId w:val="4"/>
              </w:numPr>
              <w:rPr>
                <w:rFonts w:ascii="Arial Narrow" w:hAnsi="Arial Narrow"/>
                <w:color w:val="0D0D0D" w:themeColor="text1" w:themeTint="F2"/>
                <w:lang w:val="hr-HR"/>
              </w:rPr>
            </w:pPr>
            <w:r w:rsidRPr="004A51F3">
              <w:rPr>
                <w:rFonts w:ascii="Arial Narrow" w:hAnsi="Arial Narrow"/>
                <w:color w:val="0D0D0D" w:themeColor="text1" w:themeTint="F2"/>
                <w:lang w:val="hr-HR"/>
              </w:rPr>
              <w:t xml:space="preserve">Spada li unapređivanje postojećih studijskih programa u prihvatljive aktivnosti? </w:t>
            </w:r>
          </w:p>
          <w:p w14:paraId="2D8E2202" w14:textId="77777777" w:rsidR="004A31A7" w:rsidRPr="00423126" w:rsidRDefault="004A31A7" w:rsidP="004A31A7">
            <w:pPr>
              <w:pStyle w:val="ListParagraph"/>
              <w:rPr>
                <w:rFonts w:ascii="Arial Narrow" w:hAnsi="Arial Narrow"/>
                <w:color w:val="5B9BD5" w:themeColor="accent1"/>
                <w:lang w:val="hr-HR"/>
              </w:rPr>
            </w:pPr>
          </w:p>
        </w:tc>
        <w:tc>
          <w:tcPr>
            <w:tcW w:w="4508" w:type="dxa"/>
          </w:tcPr>
          <w:p w14:paraId="22435BEE" w14:textId="498DB61A" w:rsidR="004A51F3" w:rsidRDefault="004A31A7" w:rsidP="00EA4E4F">
            <w:pPr>
              <w:jc w:val="both"/>
              <w:rPr>
                <w:rFonts w:ascii="Arial Narrow" w:hAnsi="Arial Narrow"/>
                <w:color w:val="0D0D0D" w:themeColor="text1" w:themeTint="F2"/>
                <w:lang w:val="hr-HR"/>
              </w:rPr>
            </w:pPr>
            <w:r w:rsidRPr="004A51F3">
              <w:rPr>
                <w:rFonts w:ascii="Arial Narrow" w:hAnsi="Arial Narrow"/>
                <w:color w:val="0D0D0D" w:themeColor="text1" w:themeTint="F2"/>
                <w:lang w:val="hr-HR"/>
              </w:rPr>
              <w:t xml:space="preserve">Jedan od specifičnih ciljeva ovog poziva na dostavu projektnih prijedloga je razvoj novih i/ili  unapređenje postojećih studijskih programa koji su strukturirani u skupovima ishoda učenja odgovarajuće razine, iskazani u ECTS bodovima predviđenima za stjecanje tih ishoda te su u skladu s odgovarajućim standardima kvalifikacija. </w:t>
            </w:r>
            <w:r w:rsidR="00886A1C" w:rsidRPr="004A51F3">
              <w:rPr>
                <w:rFonts w:ascii="Arial Narrow" w:hAnsi="Arial Narrow"/>
                <w:color w:val="0D0D0D" w:themeColor="text1" w:themeTint="F2"/>
                <w:lang w:val="hr-HR"/>
              </w:rPr>
              <w:t xml:space="preserve">Sukladno Uputama za prijavitelje, </w:t>
            </w:r>
            <w:r w:rsidR="006208C7" w:rsidRPr="004A51F3">
              <w:rPr>
                <w:rFonts w:ascii="Arial Narrow" w:hAnsi="Arial Narrow"/>
                <w:color w:val="0D0D0D" w:themeColor="text1" w:themeTint="F2"/>
                <w:lang w:val="hr-HR"/>
              </w:rPr>
              <w:t xml:space="preserve">u točki </w:t>
            </w:r>
            <w:r w:rsidR="00886A1C" w:rsidRPr="004A51F3">
              <w:rPr>
                <w:rFonts w:ascii="Arial Narrow" w:hAnsi="Arial Narrow"/>
                <w:color w:val="0D0D0D" w:themeColor="text1" w:themeTint="F2"/>
                <w:lang w:val="hr-HR"/>
              </w:rPr>
              <w:t>4.2.3.</w:t>
            </w:r>
            <w:r w:rsidR="003D4322">
              <w:rPr>
                <w:rFonts w:ascii="Arial Narrow" w:hAnsi="Arial Narrow"/>
                <w:color w:val="0D0D0D" w:themeColor="text1" w:themeTint="F2"/>
                <w:lang w:val="hr-HR"/>
              </w:rPr>
              <w:t xml:space="preserve"> (Upute za prijavitelje izmijenjenog Poziva na dostavu projektnih prijedloga objavljenog 8. kolovoza 2014. godine) </w:t>
            </w:r>
            <w:r w:rsidR="00886A1C" w:rsidRPr="004A51F3">
              <w:rPr>
                <w:rFonts w:ascii="Arial Narrow" w:hAnsi="Arial Narrow"/>
                <w:color w:val="0D0D0D" w:themeColor="text1" w:themeTint="F2"/>
                <w:lang w:val="hr-HR"/>
              </w:rPr>
              <w:t xml:space="preserve"> Prihvatljive </w:t>
            </w:r>
            <w:r w:rsidR="00886A1C" w:rsidRPr="004A51F3">
              <w:rPr>
                <w:rFonts w:ascii="Arial Narrow" w:hAnsi="Arial Narrow"/>
                <w:color w:val="0D0D0D" w:themeColor="text1" w:themeTint="F2"/>
                <w:lang w:val="hr-HR"/>
              </w:rPr>
              <w:lastRenderedPageBreak/>
              <w:t>aktivnosti</w:t>
            </w:r>
            <w:r w:rsidR="006208C7" w:rsidRPr="004A51F3">
              <w:rPr>
                <w:rFonts w:ascii="Arial Narrow" w:hAnsi="Arial Narrow"/>
                <w:color w:val="0D0D0D" w:themeColor="text1" w:themeTint="F2"/>
                <w:lang w:val="hr-HR"/>
              </w:rPr>
              <w:t>, p</w:t>
            </w:r>
            <w:r w:rsidR="00886A1C" w:rsidRPr="004A51F3">
              <w:rPr>
                <w:rFonts w:ascii="Arial Narrow" w:hAnsi="Arial Narrow"/>
                <w:color w:val="0D0D0D" w:themeColor="text1" w:themeTint="F2"/>
                <w:lang w:val="hr-HR"/>
              </w:rPr>
              <w:t xml:space="preserve">rojekti moraju obavezno </w:t>
            </w:r>
            <w:r w:rsidR="006208C7" w:rsidRPr="004A51F3">
              <w:rPr>
                <w:rFonts w:ascii="Arial Narrow" w:hAnsi="Arial Narrow"/>
                <w:color w:val="0D0D0D" w:themeColor="text1" w:themeTint="F2"/>
                <w:lang w:val="hr-HR"/>
              </w:rPr>
              <w:t xml:space="preserve">provoditi sljedeće aktivnosti: </w:t>
            </w:r>
          </w:p>
          <w:p w14:paraId="333CBB59" w14:textId="1B2F9D44" w:rsidR="004A51F3" w:rsidRPr="004A51F3" w:rsidRDefault="004A51F3" w:rsidP="00EA4E4F">
            <w:pPr>
              <w:pStyle w:val="ListParagraph"/>
              <w:numPr>
                <w:ilvl w:val="0"/>
                <w:numId w:val="22"/>
              </w:numPr>
              <w:jc w:val="both"/>
              <w:rPr>
                <w:rFonts w:ascii="Arial Narrow" w:hAnsi="Arial Narrow"/>
                <w:color w:val="0D0D0D" w:themeColor="text1" w:themeTint="F2"/>
                <w:lang w:val="hr-HR"/>
              </w:rPr>
            </w:pPr>
            <w:r w:rsidRPr="004A51F3">
              <w:rPr>
                <w:rFonts w:ascii="Arial Narrow" w:hAnsi="Arial Narrow"/>
                <w:color w:val="0D0D0D" w:themeColor="text1" w:themeTint="F2"/>
                <w:lang w:val="hr-HR"/>
              </w:rPr>
              <w:t>r</w:t>
            </w:r>
            <w:r w:rsidR="00886A1C" w:rsidRPr="004A51F3">
              <w:rPr>
                <w:rFonts w:ascii="Arial Narrow" w:hAnsi="Arial Narrow"/>
                <w:color w:val="0D0D0D" w:themeColor="text1" w:themeTint="F2"/>
                <w:lang w:val="hr-HR"/>
              </w:rPr>
              <w:t>azvoj i izrada standarda djelomičn</w:t>
            </w:r>
            <w:r w:rsidR="006208C7" w:rsidRPr="004A51F3">
              <w:rPr>
                <w:rFonts w:ascii="Arial Narrow" w:hAnsi="Arial Narrow"/>
                <w:color w:val="0D0D0D" w:themeColor="text1" w:themeTint="F2"/>
                <w:lang w:val="hr-HR"/>
              </w:rPr>
              <w:t xml:space="preserve">ih i cjelovitih kvalifikacija; </w:t>
            </w:r>
          </w:p>
          <w:p w14:paraId="3694E013" w14:textId="00D0DC71" w:rsidR="0054710B" w:rsidRPr="004A51F3" w:rsidRDefault="004A51F3" w:rsidP="00EA4E4F">
            <w:pPr>
              <w:pStyle w:val="ListParagraph"/>
              <w:numPr>
                <w:ilvl w:val="0"/>
                <w:numId w:val="22"/>
              </w:numPr>
              <w:jc w:val="both"/>
              <w:rPr>
                <w:rFonts w:ascii="Arial Narrow" w:hAnsi="Arial Narrow"/>
                <w:color w:val="0D0D0D" w:themeColor="text1" w:themeTint="F2"/>
                <w:lang w:val="hr-HR"/>
              </w:rPr>
            </w:pPr>
            <w:r w:rsidRPr="004A51F3">
              <w:rPr>
                <w:rFonts w:ascii="Arial Narrow" w:hAnsi="Arial Narrow"/>
                <w:color w:val="0D0D0D" w:themeColor="text1" w:themeTint="F2"/>
                <w:lang w:val="hr-HR"/>
              </w:rPr>
              <w:t>r</w:t>
            </w:r>
            <w:r w:rsidR="006208C7" w:rsidRPr="004A51F3">
              <w:rPr>
                <w:rFonts w:ascii="Arial Narrow" w:hAnsi="Arial Narrow"/>
                <w:color w:val="0D0D0D" w:themeColor="text1" w:themeTint="F2"/>
                <w:lang w:val="hr-HR"/>
              </w:rPr>
              <w:t>azvoj novih i</w:t>
            </w:r>
            <w:r w:rsidR="003D4322">
              <w:rPr>
                <w:rFonts w:ascii="Arial Narrow" w:hAnsi="Arial Narrow"/>
                <w:color w:val="0D0D0D" w:themeColor="text1" w:themeTint="F2"/>
                <w:lang w:val="hr-HR"/>
              </w:rPr>
              <w:t>/ili</w:t>
            </w:r>
            <w:r w:rsidR="006208C7" w:rsidRPr="004A51F3">
              <w:rPr>
                <w:rFonts w:ascii="Arial Narrow" w:hAnsi="Arial Narrow"/>
                <w:color w:val="0D0D0D" w:themeColor="text1" w:themeTint="F2"/>
                <w:lang w:val="hr-HR"/>
              </w:rPr>
              <w:t xml:space="preserve"> unapređenje </w:t>
            </w:r>
            <w:r w:rsidR="00886A1C" w:rsidRPr="004A51F3">
              <w:rPr>
                <w:rFonts w:ascii="Arial Narrow" w:hAnsi="Arial Narrow"/>
                <w:color w:val="0D0D0D" w:themeColor="text1" w:themeTint="F2"/>
                <w:lang w:val="hr-HR"/>
              </w:rPr>
              <w:t>postojećih studijskih programa/kurikuluma u skladu s HKO- om</w:t>
            </w:r>
            <w:r w:rsidRPr="004A51F3">
              <w:rPr>
                <w:rFonts w:ascii="Arial Narrow" w:hAnsi="Arial Narrow"/>
                <w:color w:val="0D0D0D" w:themeColor="text1" w:themeTint="F2"/>
                <w:lang w:val="hr-HR"/>
              </w:rPr>
              <w:t>.</w:t>
            </w:r>
            <w:r w:rsidR="006208C7" w:rsidRPr="004A51F3">
              <w:rPr>
                <w:rFonts w:ascii="Arial Narrow" w:hAnsi="Arial Narrow"/>
                <w:color w:val="0D0D0D" w:themeColor="text1" w:themeTint="F2"/>
                <w:lang w:val="hr-HR"/>
              </w:rPr>
              <w:t xml:space="preserve"> </w:t>
            </w:r>
          </w:p>
          <w:p w14:paraId="78A4346F" w14:textId="77777777" w:rsidR="00993DFA" w:rsidRDefault="006208C7" w:rsidP="00EA4E4F">
            <w:pPr>
              <w:jc w:val="both"/>
              <w:rPr>
                <w:rFonts w:ascii="Arial Narrow" w:hAnsi="Arial Narrow"/>
                <w:color w:val="0D0D0D" w:themeColor="text1" w:themeTint="F2"/>
                <w:lang w:val="hr-HR"/>
              </w:rPr>
            </w:pPr>
            <w:r w:rsidRPr="004A51F3">
              <w:rPr>
                <w:rFonts w:ascii="Arial Narrow" w:hAnsi="Arial Narrow"/>
                <w:color w:val="0D0D0D" w:themeColor="text1" w:themeTint="F2"/>
                <w:lang w:val="hr-HR"/>
              </w:rPr>
              <w:t>Z</w:t>
            </w:r>
          </w:p>
          <w:p w14:paraId="40BB696A" w14:textId="4E7C6DCD" w:rsidR="004A31A7" w:rsidRPr="00101800" w:rsidRDefault="006208C7" w:rsidP="00EA4E4F">
            <w:pPr>
              <w:jc w:val="both"/>
              <w:rPr>
                <w:rFonts w:ascii="Arial Narrow" w:hAnsi="Arial Narrow"/>
                <w:color w:val="5B9BD5" w:themeColor="accent1"/>
                <w:lang w:val="hr-HR"/>
              </w:rPr>
            </w:pPr>
            <w:r w:rsidRPr="004A51F3">
              <w:rPr>
                <w:rFonts w:ascii="Arial Narrow" w:hAnsi="Arial Narrow"/>
                <w:color w:val="0D0D0D" w:themeColor="text1" w:themeTint="F2"/>
                <w:lang w:val="hr-HR"/>
              </w:rPr>
              <w:t xml:space="preserve">aključno, </w:t>
            </w:r>
            <w:r w:rsidR="004A31A7" w:rsidRPr="004A51F3">
              <w:rPr>
                <w:rFonts w:ascii="Arial Narrow" w:hAnsi="Arial Narrow"/>
                <w:color w:val="0D0D0D" w:themeColor="text1" w:themeTint="F2"/>
                <w:lang w:val="hr-HR"/>
              </w:rPr>
              <w:t xml:space="preserve">jedna od obaveznih prihvatljivih aktivnosti </w:t>
            </w:r>
            <w:r w:rsidRPr="004A51F3">
              <w:rPr>
                <w:rFonts w:ascii="Arial Narrow" w:hAnsi="Arial Narrow"/>
                <w:color w:val="0D0D0D" w:themeColor="text1" w:themeTint="F2"/>
                <w:lang w:val="hr-HR"/>
              </w:rPr>
              <w:t xml:space="preserve"> je</w:t>
            </w:r>
            <w:r w:rsidR="004A31A7" w:rsidRPr="004A51F3">
              <w:rPr>
                <w:rFonts w:ascii="Arial Narrow" w:hAnsi="Arial Narrow"/>
                <w:color w:val="0D0D0D" w:themeColor="text1" w:themeTint="F2"/>
                <w:lang w:val="hr-HR"/>
              </w:rPr>
              <w:t xml:space="preserve"> razvoj novih i/ili unapređenje postojećih studijskih programa/kurikuluma u skladu s HKO-om</w:t>
            </w:r>
            <w:r w:rsidR="004A31A7" w:rsidRPr="00101800">
              <w:rPr>
                <w:rFonts w:ascii="Arial Narrow" w:hAnsi="Arial Narrow"/>
                <w:color w:val="5B9BD5" w:themeColor="accent1"/>
                <w:lang w:val="hr-HR"/>
              </w:rPr>
              <w:t xml:space="preserve">. </w:t>
            </w:r>
          </w:p>
        </w:tc>
      </w:tr>
      <w:tr w:rsidR="00D6355E" w:rsidRPr="00E81F79" w14:paraId="29E8591D" w14:textId="77777777" w:rsidTr="00D6355E">
        <w:tc>
          <w:tcPr>
            <w:tcW w:w="4508" w:type="dxa"/>
          </w:tcPr>
          <w:p w14:paraId="198F108F" w14:textId="77777777" w:rsidR="00D6355E" w:rsidRPr="00560A99" w:rsidRDefault="00224661" w:rsidP="004A31A7">
            <w:pPr>
              <w:pStyle w:val="ListParagraph"/>
              <w:numPr>
                <w:ilvl w:val="0"/>
                <w:numId w:val="4"/>
              </w:numPr>
              <w:rPr>
                <w:rFonts w:ascii="Arial Narrow" w:hAnsi="Arial Narrow"/>
                <w:lang w:val="hr-HR"/>
              </w:rPr>
            </w:pPr>
            <w:r w:rsidRPr="00560A99">
              <w:rPr>
                <w:rFonts w:ascii="Arial Narrow" w:hAnsi="Arial Narrow"/>
                <w:lang w:val="hr-HR"/>
              </w:rPr>
              <w:lastRenderedPageBreak/>
              <w:t>Može li se isti indikator spojiti s više ciljeva?</w:t>
            </w:r>
          </w:p>
        </w:tc>
        <w:tc>
          <w:tcPr>
            <w:tcW w:w="4508" w:type="dxa"/>
          </w:tcPr>
          <w:p w14:paraId="6C57597D" w14:textId="1CBD6B21" w:rsidR="0027009D" w:rsidRPr="004A51F3" w:rsidRDefault="0027009D" w:rsidP="00EA4E4F">
            <w:pPr>
              <w:jc w:val="both"/>
              <w:rPr>
                <w:rFonts w:ascii="Arial Narrow" w:hAnsi="Arial Narrow"/>
                <w:lang w:val="hr-HR"/>
              </w:rPr>
            </w:pPr>
            <w:r w:rsidRPr="00D52003">
              <w:rPr>
                <w:rFonts w:ascii="Arial Narrow" w:hAnsi="Arial Narrow"/>
                <w:lang w:val="hr-HR"/>
              </w:rPr>
              <w:t xml:space="preserve">U Uputama za prijavitelje poglavlje 2. Predmet poziva i opće informacije navedeno je sljedeće: Projektni prijedlozi moraju pridonijeti ispunjavanju svih ciljeva ovog poziva na dostavu projektnih prijedloga i pridonositi uspješnosti provedbe cjelokupnog </w:t>
            </w:r>
            <w:r w:rsidRPr="0054710B">
              <w:rPr>
                <w:rFonts w:ascii="Arial Narrow" w:hAnsi="Arial Narrow"/>
                <w:lang w:val="hr-HR"/>
              </w:rPr>
              <w:t xml:space="preserve">Operativnog programa </w:t>
            </w:r>
            <w:r w:rsidRPr="004A51F3">
              <w:rPr>
                <w:rFonts w:ascii="Arial Narrow" w:hAnsi="Arial Narrow"/>
                <w:lang w:val="hr-HR"/>
              </w:rPr>
              <w:t xml:space="preserve">mjereno, između ostalog, sljedećim pokazateljima provedbe:  </w:t>
            </w:r>
          </w:p>
          <w:p w14:paraId="1C779B3A" w14:textId="01CC2D92" w:rsidR="0027009D" w:rsidRPr="00D52003" w:rsidRDefault="0027009D" w:rsidP="00EA4E4F">
            <w:pPr>
              <w:pStyle w:val="ListParagraph"/>
              <w:numPr>
                <w:ilvl w:val="0"/>
                <w:numId w:val="19"/>
              </w:numPr>
              <w:jc w:val="both"/>
              <w:rPr>
                <w:rFonts w:ascii="Arial Narrow" w:hAnsi="Arial Narrow"/>
                <w:lang w:val="hr-HR"/>
              </w:rPr>
            </w:pPr>
            <w:r w:rsidRPr="00D52003">
              <w:rPr>
                <w:rFonts w:ascii="Arial Narrow" w:hAnsi="Arial Narrow"/>
                <w:lang w:val="hr-HR"/>
              </w:rPr>
              <w:t>Broj razvijenih standarda kvalifikacija.</w:t>
            </w:r>
          </w:p>
          <w:p w14:paraId="6DF9924B" w14:textId="2B236D54" w:rsidR="0027009D" w:rsidRPr="00D52003" w:rsidRDefault="00013F53" w:rsidP="00E21293">
            <w:pPr>
              <w:pStyle w:val="ListParagraph"/>
              <w:numPr>
                <w:ilvl w:val="0"/>
                <w:numId w:val="19"/>
              </w:numPr>
              <w:rPr>
                <w:rFonts w:ascii="Arial Narrow" w:hAnsi="Arial Narrow"/>
                <w:lang w:val="hr-HR"/>
              </w:rPr>
            </w:pPr>
            <w:r>
              <w:rPr>
                <w:rFonts w:ascii="Arial Narrow" w:hAnsi="Arial Narrow"/>
                <w:lang w:val="hr-HR"/>
              </w:rPr>
              <w:t xml:space="preserve">Broj razvijenih studijskih </w:t>
            </w:r>
            <w:r w:rsidR="0027009D" w:rsidRPr="00D52003">
              <w:rPr>
                <w:rFonts w:ascii="Arial Narrow" w:hAnsi="Arial Narrow"/>
                <w:lang w:val="hr-HR"/>
              </w:rPr>
              <w:t>programa/kurikuluma</w:t>
            </w:r>
            <w:r>
              <w:rPr>
                <w:rFonts w:ascii="Arial Narrow" w:hAnsi="Arial Narrow"/>
                <w:lang w:val="hr-HR"/>
              </w:rPr>
              <w:t xml:space="preserve"> temeljenih na ishodima učenja</w:t>
            </w:r>
          </w:p>
          <w:p w14:paraId="10FCFC5B" w14:textId="77777777" w:rsidR="009F65B4" w:rsidRPr="00D52003" w:rsidRDefault="0027009D" w:rsidP="00E21293">
            <w:pPr>
              <w:pStyle w:val="ListParagraph"/>
              <w:numPr>
                <w:ilvl w:val="0"/>
                <w:numId w:val="19"/>
              </w:numPr>
              <w:rPr>
                <w:rFonts w:ascii="Arial Narrow" w:hAnsi="Arial Narrow"/>
                <w:lang w:val="hr-HR"/>
              </w:rPr>
            </w:pPr>
            <w:r w:rsidRPr="00D52003">
              <w:rPr>
                <w:rFonts w:ascii="Arial Narrow" w:hAnsi="Arial Narrow"/>
                <w:lang w:val="hr-HR"/>
              </w:rPr>
              <w:t>Broj zaposlenika odgojno-obrazovnih ustanova koji je sudjelovao u specifičnim aktivnostima stručnog  usavršavanja.</w:t>
            </w:r>
          </w:p>
          <w:p w14:paraId="27BF8B17" w14:textId="77777777" w:rsidR="005E0C6F" w:rsidRDefault="005E0C6F" w:rsidP="00EA4E4F">
            <w:pPr>
              <w:jc w:val="both"/>
              <w:rPr>
                <w:rFonts w:ascii="Arial Narrow" w:hAnsi="Arial Narrow"/>
                <w:lang w:val="hr-HR"/>
              </w:rPr>
            </w:pPr>
          </w:p>
          <w:p w14:paraId="207B012A" w14:textId="2674DB97" w:rsidR="0027009D" w:rsidRPr="004A51F3" w:rsidRDefault="005E0C6F" w:rsidP="00A14381">
            <w:pPr>
              <w:jc w:val="both"/>
              <w:rPr>
                <w:rFonts w:ascii="Arial Narrow" w:hAnsi="Arial Narrow"/>
                <w:lang w:val="hr-HR"/>
              </w:rPr>
            </w:pPr>
            <w:r>
              <w:rPr>
                <w:rFonts w:ascii="Arial Narrow" w:hAnsi="Arial Narrow"/>
                <w:lang w:val="hr-HR"/>
              </w:rPr>
              <w:t>J</w:t>
            </w:r>
            <w:r w:rsidRPr="005E0C6F">
              <w:rPr>
                <w:rFonts w:ascii="Arial Narrow" w:hAnsi="Arial Narrow"/>
                <w:lang w:val="hr-HR"/>
              </w:rPr>
              <w:t xml:space="preserve">edan cilj </w:t>
            </w:r>
            <w:r>
              <w:rPr>
                <w:rFonts w:ascii="Arial Narrow" w:hAnsi="Arial Narrow"/>
                <w:lang w:val="hr-HR"/>
              </w:rPr>
              <w:t xml:space="preserve">se može vezati </w:t>
            </w:r>
            <w:r w:rsidRPr="005E0C6F">
              <w:rPr>
                <w:rFonts w:ascii="Arial Narrow" w:hAnsi="Arial Narrow"/>
                <w:lang w:val="hr-HR"/>
              </w:rPr>
              <w:t>na više OP indikatora</w:t>
            </w:r>
            <w:r>
              <w:rPr>
                <w:rFonts w:ascii="Arial Narrow" w:hAnsi="Arial Narrow"/>
                <w:lang w:val="hr-HR"/>
              </w:rPr>
              <w:t xml:space="preserve">  tj. više indikatora može doprinositi realizaciji jednog cilja</w:t>
            </w:r>
            <w:r w:rsidRPr="005E0C6F">
              <w:rPr>
                <w:rFonts w:ascii="Arial Narrow" w:hAnsi="Arial Narrow"/>
                <w:lang w:val="hr-HR"/>
              </w:rPr>
              <w:t>,</w:t>
            </w:r>
            <w:r>
              <w:rPr>
                <w:rFonts w:ascii="Arial Narrow" w:hAnsi="Arial Narrow"/>
                <w:lang w:val="hr-HR"/>
              </w:rPr>
              <w:t xml:space="preserve"> </w:t>
            </w:r>
            <w:r w:rsidRPr="005E0C6F">
              <w:rPr>
                <w:rFonts w:ascii="Arial Narrow" w:hAnsi="Arial Narrow"/>
                <w:lang w:val="hr-HR"/>
              </w:rPr>
              <w:t>a</w:t>
            </w:r>
            <w:r>
              <w:rPr>
                <w:rFonts w:ascii="Arial Narrow" w:hAnsi="Arial Narrow"/>
                <w:lang w:val="hr-HR"/>
              </w:rPr>
              <w:t>li</w:t>
            </w:r>
            <w:r w:rsidRPr="005E0C6F">
              <w:rPr>
                <w:rFonts w:ascii="Arial Narrow" w:hAnsi="Arial Narrow"/>
                <w:lang w:val="hr-HR"/>
              </w:rPr>
              <w:t xml:space="preserve"> jedan OP indikator ne može </w:t>
            </w:r>
            <w:r>
              <w:rPr>
                <w:rFonts w:ascii="Arial Narrow" w:hAnsi="Arial Narrow"/>
                <w:lang w:val="hr-HR"/>
              </w:rPr>
              <w:t xml:space="preserve">se vezati na više ciljeva (tj. jedan indikator ne može doprinositi većem broju ciljeva). </w:t>
            </w:r>
            <w:r w:rsidR="0027009D" w:rsidRPr="00D52003">
              <w:rPr>
                <w:rFonts w:ascii="Arial Narrow" w:hAnsi="Arial Narrow"/>
                <w:lang w:val="hr-HR"/>
              </w:rPr>
              <w:t>Prijavitelj može definirati i dodatne pokazatelje relevantne za njegov projekt koji će služiti kao objektivno provjerljivi pokazatelji uspješnosti provedbe projektnih aktivnosti.</w:t>
            </w:r>
            <w:r w:rsidR="0027009D" w:rsidRPr="00D52003">
              <w:rPr>
                <w:lang w:val="hr-HR"/>
              </w:rPr>
              <w:t xml:space="preserve"> </w:t>
            </w:r>
            <w:r w:rsidR="0027009D" w:rsidRPr="00D52003">
              <w:rPr>
                <w:rFonts w:ascii="Arial Narrow" w:hAnsi="Arial Narrow"/>
                <w:lang w:val="hr-HR"/>
              </w:rPr>
              <w:t>Vaše pitanje vezano je uz popunjavanje Prijavnog obrasca A. dio koji je objavljen na sljedećoj mrežnoj adresi: https://scf- wf.mrrfeu.hr/ap.   Na navedenoj adresi objavljene su upute za rad s aplikacijom te sadržajne upute za popunjavanje prijavnog obrasca A. dio</w:t>
            </w:r>
            <w:r w:rsidR="0027009D" w:rsidRPr="00D52003">
              <w:rPr>
                <w:rFonts w:ascii="Arial Narrow" w:hAnsi="Arial Narrow"/>
                <w:b/>
                <w:lang w:val="hr-HR"/>
              </w:rPr>
              <w:t xml:space="preserve"> </w:t>
            </w:r>
            <w:r w:rsidR="0027009D" w:rsidRPr="00D52003">
              <w:rPr>
                <w:rFonts w:ascii="Arial Narrow" w:hAnsi="Arial Narrow"/>
                <w:lang w:val="hr-HR"/>
              </w:rPr>
              <w:t>pa tako i dio vezan uz odnos ispunjavanja ciljeva mjerenih indikatorima.</w:t>
            </w:r>
          </w:p>
        </w:tc>
      </w:tr>
      <w:tr w:rsidR="0054579F" w:rsidRPr="00560A99" w14:paraId="32BA181F" w14:textId="77777777" w:rsidTr="00E81F79">
        <w:tc>
          <w:tcPr>
            <w:tcW w:w="9016" w:type="dxa"/>
            <w:gridSpan w:val="2"/>
          </w:tcPr>
          <w:p w14:paraId="56B32C5F" w14:textId="3990DFA1" w:rsidR="0054579F" w:rsidRPr="0054579F" w:rsidRDefault="0054579F" w:rsidP="0054579F">
            <w:pPr>
              <w:jc w:val="center"/>
              <w:rPr>
                <w:rFonts w:ascii="Arial Narrow" w:hAnsi="Arial Narrow"/>
                <w:b/>
                <w:lang w:val="hr-HR"/>
              </w:rPr>
            </w:pPr>
            <w:r w:rsidRPr="0054579F">
              <w:rPr>
                <w:rFonts w:ascii="Arial Narrow" w:hAnsi="Arial Narrow"/>
                <w:b/>
                <w:lang w:val="hr-HR"/>
              </w:rPr>
              <w:t>Financiranje</w:t>
            </w:r>
          </w:p>
        </w:tc>
      </w:tr>
      <w:tr w:rsidR="006C5B14" w:rsidRPr="00E81F79" w14:paraId="33B0D77A" w14:textId="77777777" w:rsidTr="00D6355E">
        <w:tc>
          <w:tcPr>
            <w:tcW w:w="4508" w:type="dxa"/>
          </w:tcPr>
          <w:p w14:paraId="2ADDF502" w14:textId="348B26E0" w:rsidR="0054579F" w:rsidRPr="006C5B14" w:rsidRDefault="0054579F" w:rsidP="0054579F">
            <w:pPr>
              <w:pStyle w:val="ListParagraph"/>
              <w:numPr>
                <w:ilvl w:val="0"/>
                <w:numId w:val="4"/>
              </w:numPr>
              <w:jc w:val="both"/>
              <w:rPr>
                <w:rFonts w:ascii="Arial Narrow" w:hAnsi="Arial Narrow"/>
                <w:color w:val="000000" w:themeColor="text1"/>
                <w:lang w:val="hr-HR"/>
              </w:rPr>
            </w:pPr>
            <w:r w:rsidRPr="00163931">
              <w:rPr>
                <w:rFonts w:ascii="Arial Narrow" w:hAnsi="Arial Narrow"/>
                <w:color w:val="000000" w:themeColor="text1"/>
                <w:lang w:val="hr-HR"/>
              </w:rPr>
              <w:t>Koje metode financiranja fakulteta postoje, odnosno da li postoji mogućnost financiranja tijekom projekta, a ne tek na kraju (metoda plaćanja ili potraživanja). Ako postoji metoda financiranja tijekom projekta to jest financiranje od nabave do nabave možete li nam pobliže objasniti na koji način to funkcionira?</w:t>
            </w:r>
          </w:p>
        </w:tc>
        <w:tc>
          <w:tcPr>
            <w:tcW w:w="4508" w:type="dxa"/>
          </w:tcPr>
          <w:p w14:paraId="084AA692" w14:textId="115E6FE4" w:rsidR="0002192B" w:rsidRPr="0002192B" w:rsidRDefault="0002192B" w:rsidP="00EA4E4F">
            <w:pPr>
              <w:jc w:val="both"/>
              <w:rPr>
                <w:rFonts w:ascii="Arial Narrow" w:hAnsi="Arial Narrow"/>
                <w:color w:val="000000" w:themeColor="text1"/>
                <w:lang w:val="hr-HR"/>
              </w:rPr>
            </w:pPr>
            <w:r w:rsidRPr="0002192B">
              <w:rPr>
                <w:rFonts w:ascii="Arial Narrow" w:hAnsi="Arial Narrow"/>
                <w:color w:val="000000" w:themeColor="text1"/>
                <w:lang w:val="hr-HR"/>
              </w:rPr>
              <w:t>Članak 15</w:t>
            </w:r>
            <w:r>
              <w:rPr>
                <w:rFonts w:ascii="Arial Narrow" w:hAnsi="Arial Narrow"/>
                <w:color w:val="000000" w:themeColor="text1"/>
                <w:lang w:val="hr-HR"/>
              </w:rPr>
              <w:t>.</w:t>
            </w:r>
            <w:r w:rsidRPr="0002192B">
              <w:rPr>
                <w:rFonts w:ascii="Arial Narrow" w:hAnsi="Arial Narrow"/>
                <w:color w:val="000000" w:themeColor="text1"/>
                <w:lang w:val="hr-HR"/>
              </w:rPr>
              <w:t xml:space="preserve"> Općih uvjeta ugovora definira plaćanja i račune te plan zahtjeva za nadoknadom sredstava. Plaćanje prihvatljivih troškova iz bespovratnih sredstava projekta Korisnik potražuje podnošenjem Zahtjeva za nadoknadu sredstava (ZNS) tijekom provedbe projektnih aktivnosti i podnošenjem  Završnog zahtjeva za nadoknadu sredstava u skladu s pravilima utvrđenima u  Ugovoru. </w:t>
            </w:r>
          </w:p>
          <w:p w14:paraId="32E4E118" w14:textId="77777777" w:rsidR="0002192B" w:rsidRPr="0002192B" w:rsidRDefault="0002192B" w:rsidP="00EA4E4F">
            <w:pPr>
              <w:jc w:val="both"/>
              <w:rPr>
                <w:rFonts w:ascii="Arial Narrow" w:hAnsi="Arial Narrow"/>
                <w:color w:val="000000" w:themeColor="text1"/>
                <w:lang w:val="hr-HR"/>
              </w:rPr>
            </w:pPr>
          </w:p>
          <w:p w14:paraId="119C2476" w14:textId="77777777" w:rsidR="0002192B" w:rsidRPr="0002192B" w:rsidRDefault="0002192B" w:rsidP="00EA4E4F">
            <w:pPr>
              <w:jc w:val="both"/>
              <w:rPr>
                <w:rFonts w:ascii="Arial Narrow" w:hAnsi="Arial Narrow"/>
                <w:color w:val="000000" w:themeColor="text1"/>
                <w:lang w:val="hr-HR"/>
              </w:rPr>
            </w:pPr>
            <w:r w:rsidRPr="0002192B">
              <w:rPr>
                <w:rFonts w:ascii="Arial Narrow" w:hAnsi="Arial Narrow"/>
                <w:color w:val="000000" w:themeColor="text1"/>
                <w:lang w:val="hr-HR"/>
              </w:rPr>
              <w:t xml:space="preserve">Sukladno čl. 15.12. Općih uvjeta ugovora, Zahtjev za nadoknadu sredstava može se podnijeti nakon što Ugovor stupi na snagu pa do dospijeća roka za </w:t>
            </w:r>
            <w:r w:rsidRPr="0002192B">
              <w:rPr>
                <w:rFonts w:ascii="Arial Narrow" w:hAnsi="Arial Narrow"/>
                <w:color w:val="000000" w:themeColor="text1"/>
                <w:lang w:val="hr-HR"/>
              </w:rPr>
              <w:lastRenderedPageBreak/>
              <w:t xml:space="preserve">podnošenje Zahtjeva za nadoknadu  sredstava od strane Korisnika, koji će se navesti u Posebnim uvjetima ugovora. </w:t>
            </w:r>
          </w:p>
          <w:p w14:paraId="70C5CE14" w14:textId="77777777" w:rsidR="0002192B" w:rsidRPr="0002192B" w:rsidRDefault="0002192B" w:rsidP="00EA4E4F">
            <w:pPr>
              <w:jc w:val="both"/>
              <w:rPr>
                <w:rFonts w:ascii="Arial Narrow" w:hAnsi="Arial Narrow"/>
                <w:color w:val="000000" w:themeColor="text1"/>
                <w:lang w:val="hr-HR"/>
              </w:rPr>
            </w:pPr>
            <w:r w:rsidRPr="0002192B">
              <w:rPr>
                <w:rFonts w:ascii="Arial Narrow" w:hAnsi="Arial Narrow"/>
                <w:color w:val="000000" w:themeColor="text1"/>
                <w:lang w:val="hr-HR"/>
              </w:rPr>
              <w:t>Članak 2 Općih uvjeta propisuje obvezu davanja informacija i podnošenja izvješća. Prema članku 2.3.  Izvješća o napretku podnose se u roku od 15 kalendarskih dana nakon isteka svaka tri mjeseca provedbe Projekta, osim ukoliko drugačije nije navedeno u Posebnim uvjetima ugovora., dok se Završno izvješće podnosi u roku od 30 kalendarskih dana nakon isteka provedbenog razdoblja Projekta, osim ukoliko drugačije nije navedeno u Posebnim uvjetima.</w:t>
            </w:r>
          </w:p>
          <w:p w14:paraId="70D275A1" w14:textId="77777777" w:rsidR="00322D56" w:rsidRDefault="00322D56" w:rsidP="00EA4E4F">
            <w:pPr>
              <w:jc w:val="both"/>
              <w:rPr>
                <w:rFonts w:ascii="Arial Narrow" w:hAnsi="Arial Narrow"/>
                <w:color w:val="000000" w:themeColor="text1"/>
                <w:lang w:val="hr-HR"/>
              </w:rPr>
            </w:pPr>
          </w:p>
          <w:p w14:paraId="13F2980D" w14:textId="77777777" w:rsidR="0002192B" w:rsidRPr="0002192B" w:rsidRDefault="0002192B" w:rsidP="00EA4E4F">
            <w:pPr>
              <w:jc w:val="both"/>
              <w:rPr>
                <w:rFonts w:ascii="Arial Narrow" w:hAnsi="Arial Narrow"/>
                <w:color w:val="000000" w:themeColor="text1"/>
                <w:lang w:val="hr-HR"/>
              </w:rPr>
            </w:pPr>
            <w:r w:rsidRPr="0002192B">
              <w:rPr>
                <w:rFonts w:ascii="Arial Narrow" w:hAnsi="Arial Narrow"/>
                <w:color w:val="000000" w:themeColor="text1"/>
                <w:lang w:val="hr-HR"/>
              </w:rPr>
              <w:t xml:space="preserve">Također, molimo proučite odgovor na pitanje 19. koje podrobnije opisuje način realizacije isplate predujma. </w:t>
            </w:r>
          </w:p>
          <w:p w14:paraId="5CBFF4AD" w14:textId="77777777" w:rsidR="0002192B" w:rsidRPr="0002192B" w:rsidRDefault="0002192B" w:rsidP="00EA4E4F">
            <w:pPr>
              <w:jc w:val="both"/>
              <w:rPr>
                <w:rFonts w:ascii="Arial Narrow" w:hAnsi="Arial Narrow"/>
                <w:color w:val="000000" w:themeColor="text1"/>
                <w:lang w:val="hr-HR"/>
              </w:rPr>
            </w:pPr>
          </w:p>
          <w:p w14:paraId="200D277E" w14:textId="7829DA2F" w:rsidR="0054579F" w:rsidRPr="006C5B14" w:rsidRDefault="0002192B" w:rsidP="00993DFA">
            <w:pPr>
              <w:jc w:val="both"/>
              <w:rPr>
                <w:rFonts w:ascii="Arial Narrow" w:hAnsi="Arial Narrow"/>
                <w:color w:val="000000" w:themeColor="text1"/>
                <w:lang w:val="hr-HR"/>
              </w:rPr>
            </w:pPr>
            <w:r w:rsidRPr="0002192B">
              <w:rPr>
                <w:rFonts w:ascii="Arial Narrow" w:hAnsi="Arial Narrow"/>
                <w:color w:val="000000" w:themeColor="text1"/>
                <w:lang w:val="hr-HR"/>
              </w:rPr>
              <w:t>Molimo primite na znanje da Prihvatljivi izdaci u okviru ovog Poziva moraju</w:t>
            </w:r>
            <w:r>
              <w:rPr>
                <w:rFonts w:ascii="Arial Narrow" w:hAnsi="Arial Narrow"/>
                <w:color w:val="000000" w:themeColor="text1"/>
                <w:lang w:val="hr-HR"/>
              </w:rPr>
              <w:t xml:space="preserve"> </w:t>
            </w:r>
            <w:r w:rsidRPr="0002192B">
              <w:rPr>
                <w:rFonts w:ascii="Arial Narrow" w:hAnsi="Arial Narrow"/>
                <w:color w:val="000000" w:themeColor="text1"/>
                <w:lang w:val="hr-HR"/>
              </w:rPr>
              <w:t>biti plaćeni podizvođačima i zaposlenicima da bi Korisnik mogao potraživati njihovu nadoknadu iz bespovratnih sredstava</w:t>
            </w:r>
            <w:r w:rsidR="00A14381">
              <w:rPr>
                <w:rFonts w:ascii="Arial Narrow" w:hAnsi="Arial Narrow"/>
                <w:color w:val="000000" w:themeColor="text1"/>
                <w:lang w:val="hr-HR"/>
              </w:rPr>
              <w:t>.</w:t>
            </w:r>
            <w:r w:rsidRPr="0002192B">
              <w:rPr>
                <w:rFonts w:ascii="Arial Narrow" w:hAnsi="Arial Narrow"/>
                <w:color w:val="000000" w:themeColor="text1"/>
                <w:lang w:val="hr-HR"/>
              </w:rPr>
              <w:t xml:space="preserve"> </w:t>
            </w:r>
          </w:p>
        </w:tc>
      </w:tr>
      <w:tr w:rsidR="00D6355E" w:rsidRPr="00E81F79" w14:paraId="2A9E9E9E" w14:textId="77777777" w:rsidTr="00D6355E">
        <w:tc>
          <w:tcPr>
            <w:tcW w:w="4508" w:type="dxa"/>
          </w:tcPr>
          <w:p w14:paraId="352A13AC" w14:textId="77777777" w:rsidR="00D6355E" w:rsidRPr="00560A99" w:rsidRDefault="00224661" w:rsidP="00731101">
            <w:pPr>
              <w:pStyle w:val="ListParagraph"/>
              <w:numPr>
                <w:ilvl w:val="0"/>
                <w:numId w:val="4"/>
              </w:numPr>
              <w:jc w:val="both"/>
              <w:rPr>
                <w:rFonts w:ascii="Arial Narrow" w:hAnsi="Arial Narrow"/>
                <w:lang w:val="hr-HR"/>
              </w:rPr>
            </w:pPr>
            <w:r w:rsidRPr="00560A99">
              <w:rPr>
                <w:rFonts w:ascii="Arial Narrow" w:hAnsi="Arial Narrow"/>
                <w:lang w:val="hr-HR"/>
              </w:rPr>
              <w:lastRenderedPageBreak/>
              <w:t>Je li ograničen postotak troškova vidljivosti?</w:t>
            </w:r>
          </w:p>
        </w:tc>
        <w:tc>
          <w:tcPr>
            <w:tcW w:w="4508" w:type="dxa"/>
          </w:tcPr>
          <w:p w14:paraId="2A416A7A" w14:textId="2D743BA0" w:rsidR="00D6355E" w:rsidRPr="00560A99" w:rsidRDefault="00095ED4" w:rsidP="00EA4E4F">
            <w:pPr>
              <w:jc w:val="both"/>
              <w:rPr>
                <w:rFonts w:ascii="Arial Narrow" w:hAnsi="Arial Narrow"/>
                <w:lang w:val="hr-HR"/>
              </w:rPr>
            </w:pPr>
            <w:r>
              <w:rPr>
                <w:rFonts w:ascii="Arial Narrow" w:hAnsi="Arial Narrow"/>
                <w:lang w:val="hr-HR"/>
              </w:rPr>
              <w:t>Ne.</w:t>
            </w:r>
            <w:r w:rsidR="0002192B" w:rsidRPr="0002192B">
              <w:rPr>
                <w:rFonts w:ascii="Arial Narrow" w:hAnsi="Arial Narrow"/>
                <w:lang w:val="hr-HR"/>
              </w:rPr>
              <w:t xml:space="preserve"> Međutim, skrećemo pažnju na točku 4.3. Uputa za prijavitelje gdje je navedeno: ''Proračun projekta predstavlja procjenu troškova provedbe svih projektnih aktivnosti. Iznosi uključeni u proračun projekta moraju biti realistični i troškovno učinkoviti, tj. navedeni troškovi moraju biti nužni za ostvarivanje očekivanih ishoda i rezultata, te temeljeni na tržišnim cijenama.’'</w:t>
            </w:r>
          </w:p>
        </w:tc>
      </w:tr>
      <w:tr w:rsidR="0054579F" w:rsidRPr="00E81F79" w14:paraId="5D07BEE5" w14:textId="77777777" w:rsidTr="00D6355E">
        <w:tc>
          <w:tcPr>
            <w:tcW w:w="4508" w:type="dxa"/>
          </w:tcPr>
          <w:p w14:paraId="5E4F9EEC" w14:textId="0D334E8E" w:rsidR="0054579F" w:rsidRPr="00E807A6" w:rsidRDefault="0054579F" w:rsidP="0054579F">
            <w:pPr>
              <w:pStyle w:val="ListParagraph"/>
              <w:numPr>
                <w:ilvl w:val="0"/>
                <w:numId w:val="4"/>
              </w:numPr>
              <w:jc w:val="both"/>
              <w:rPr>
                <w:rFonts w:ascii="Arial Narrow" w:hAnsi="Arial Narrow"/>
                <w:color w:val="C45911" w:themeColor="accent2" w:themeShade="BF"/>
                <w:lang w:val="hr-HR"/>
              </w:rPr>
            </w:pPr>
            <w:r w:rsidRPr="004A51F3">
              <w:rPr>
                <w:rFonts w:ascii="Arial Narrow" w:hAnsi="Arial Narrow"/>
                <w:color w:val="0D0D0D" w:themeColor="text1" w:themeTint="F2"/>
                <w:lang w:val="hr-HR"/>
              </w:rPr>
              <w:t>Planiramo li troškove sa PDV-om ili bez PDV-a?</w:t>
            </w:r>
          </w:p>
        </w:tc>
        <w:tc>
          <w:tcPr>
            <w:tcW w:w="4508" w:type="dxa"/>
          </w:tcPr>
          <w:p w14:paraId="2F90B1F5" w14:textId="54F797F3" w:rsidR="0054579F" w:rsidRPr="00322D56" w:rsidRDefault="00A14381" w:rsidP="00157356">
            <w:pPr>
              <w:jc w:val="both"/>
              <w:rPr>
                <w:rFonts w:ascii="Arial Narrow" w:hAnsi="Arial Narrow"/>
                <w:color w:val="0D0D0D" w:themeColor="text1" w:themeTint="F2"/>
                <w:lang w:val="hr-HR"/>
              </w:rPr>
            </w:pPr>
            <w:r>
              <w:rPr>
                <w:rFonts w:ascii="Arial Narrow" w:hAnsi="Arial Narrow"/>
                <w:color w:val="0D0D0D" w:themeColor="text1" w:themeTint="F2"/>
                <w:lang w:val="hr-HR"/>
              </w:rPr>
              <w:t xml:space="preserve">Prema </w:t>
            </w:r>
            <w:r w:rsidR="00157356" w:rsidRPr="00157356">
              <w:rPr>
                <w:rFonts w:ascii="Arial Narrow" w:hAnsi="Arial Narrow"/>
                <w:color w:val="0D0D0D" w:themeColor="text1" w:themeTint="F2"/>
                <w:lang w:val="hr-HR"/>
              </w:rPr>
              <w:t>Pravilnik</w:t>
            </w:r>
            <w:r>
              <w:rPr>
                <w:rFonts w:ascii="Arial Narrow" w:hAnsi="Arial Narrow"/>
                <w:color w:val="0D0D0D" w:themeColor="text1" w:themeTint="F2"/>
                <w:lang w:val="hr-HR"/>
              </w:rPr>
              <w:t>u</w:t>
            </w:r>
            <w:r w:rsidR="00157356" w:rsidRPr="00157356">
              <w:rPr>
                <w:rFonts w:ascii="Arial Narrow" w:hAnsi="Arial Narrow"/>
                <w:color w:val="0D0D0D" w:themeColor="text1" w:themeTint="F2"/>
                <w:lang w:val="hr-HR"/>
              </w:rPr>
              <w:t xml:space="preserve"> o prihvatljivosti izdataka (NN br 5/14) PDV je definiran kao prihvatljiv izdata</w:t>
            </w:r>
            <w:r w:rsidR="005E0C6F">
              <w:rPr>
                <w:rFonts w:ascii="Arial Narrow" w:hAnsi="Arial Narrow"/>
                <w:color w:val="0D0D0D" w:themeColor="text1" w:themeTint="F2"/>
                <w:lang w:val="hr-HR"/>
              </w:rPr>
              <w:t xml:space="preserve">k ako nije povrativ, što znači </w:t>
            </w:r>
            <w:r w:rsidR="00157356" w:rsidRPr="00157356">
              <w:rPr>
                <w:rFonts w:ascii="Arial Narrow" w:hAnsi="Arial Narrow"/>
                <w:color w:val="0D0D0D" w:themeColor="text1" w:themeTint="F2"/>
                <w:lang w:val="hr-HR"/>
              </w:rPr>
              <w:t xml:space="preserve">neprihvatljiv je ukoliko je povrativ. </w:t>
            </w:r>
            <w:r w:rsidR="0002192B" w:rsidRPr="0002192B">
              <w:rPr>
                <w:rFonts w:ascii="Arial Narrow" w:hAnsi="Arial Narrow"/>
                <w:color w:val="0D0D0D" w:themeColor="text1" w:themeTint="F2"/>
                <w:lang w:val="hr-HR"/>
              </w:rPr>
              <w:t>Porez na dodanu vrijednost (PDV) koji je povrativ je suk</w:t>
            </w:r>
            <w:r w:rsidR="00F877E3">
              <w:rPr>
                <w:rFonts w:ascii="Arial Narrow" w:hAnsi="Arial Narrow"/>
                <w:color w:val="0D0D0D" w:themeColor="text1" w:themeTint="F2"/>
                <w:lang w:val="hr-HR"/>
              </w:rPr>
              <w:t>ladno Uputama za prijavitelje točka</w:t>
            </w:r>
            <w:r w:rsidR="005E0C6F">
              <w:rPr>
                <w:rFonts w:ascii="Arial Narrow" w:hAnsi="Arial Narrow"/>
                <w:color w:val="0D0D0D" w:themeColor="text1" w:themeTint="F2"/>
                <w:lang w:val="hr-HR"/>
              </w:rPr>
              <w:t xml:space="preserve">. 4.3.3. </w:t>
            </w:r>
            <w:r w:rsidR="0002192B" w:rsidRPr="0002192B">
              <w:rPr>
                <w:rFonts w:ascii="Arial Narrow" w:hAnsi="Arial Narrow"/>
                <w:color w:val="0D0D0D" w:themeColor="text1" w:themeTint="F2"/>
                <w:lang w:val="hr-HR"/>
              </w:rPr>
              <w:t>neprihvatljiv trošak</w:t>
            </w:r>
            <w:r w:rsidR="0002192B">
              <w:rPr>
                <w:rFonts w:ascii="Arial Narrow" w:hAnsi="Arial Narrow"/>
                <w:color w:val="0D0D0D" w:themeColor="text1" w:themeTint="F2"/>
                <w:lang w:val="hr-HR"/>
              </w:rPr>
              <w:t>.</w:t>
            </w:r>
            <w:r w:rsidR="005E0C6F">
              <w:rPr>
                <w:rFonts w:ascii="Arial Narrow" w:hAnsi="Arial Narrow"/>
                <w:color w:val="0D0D0D" w:themeColor="text1" w:themeTint="F2"/>
                <w:lang w:val="hr-HR"/>
              </w:rPr>
              <w:t xml:space="preserve"> </w:t>
            </w:r>
            <w:r w:rsidR="00157356" w:rsidRPr="00157356">
              <w:rPr>
                <w:rFonts w:ascii="Arial Narrow" w:hAnsi="Arial Narrow"/>
                <w:color w:val="0D0D0D" w:themeColor="text1" w:themeTint="F2"/>
                <w:lang w:val="hr-HR"/>
              </w:rPr>
              <w:t>Pojam povrativ  PDV ili nepovrativ u pogledu prihvatljivosti izdataka u okviru financiranja iz strukturnih instrumenata veže se u RH uz to ima li korisnik pravo na odbitak PDV-a kao dijela nabave koja je sufinancirana iz strukturnih fondova. U ovom slučaju to znači da je PDV prihvatljiv izdatak ako korisnik nema pravo na odbitak PDV-a za određenu nabavu te da PDV nije prihvatljiv izdatak ako je korisnik obveznik upisan u registar obveznika PDV-a te ima pravo na odbitak PDV-a. Vezano uz dokazivanje je li PDV prihvatljiv ili neprihvatljiv izdatak, korisnici sredstava trebaju dokazivati svoj porezni status (prilaganje potvrde o statusu korisnika u odnosu na registar obveznika PDV-a).</w:t>
            </w:r>
            <w:r w:rsidR="0002192B" w:rsidRPr="00E81F79">
              <w:rPr>
                <w:lang w:val="hr-HR"/>
              </w:rPr>
              <w:t xml:space="preserve"> </w:t>
            </w:r>
            <w:r w:rsidR="0002192B" w:rsidRPr="0002192B">
              <w:rPr>
                <w:rFonts w:ascii="Arial Narrow" w:hAnsi="Arial Narrow"/>
                <w:color w:val="0D0D0D" w:themeColor="text1" w:themeTint="F2"/>
                <w:lang w:val="hr-HR"/>
              </w:rPr>
              <w:t>Budući da su korisnici projekata u različitim operativnim programima različiti - trgovačka društva, fizičke osobe, neprofitne organizacije, tijela državne uprave kao i jedinice lokalne i područne/regionalne samouprave, tumačenje o ne/prihvatljivosti PDV-a kao izdatka vezano je uz korisnike.</w:t>
            </w:r>
            <w:r w:rsidR="00157356" w:rsidRPr="00157356">
              <w:rPr>
                <w:rFonts w:ascii="Arial Narrow" w:hAnsi="Arial Narrow"/>
                <w:color w:val="0D0D0D" w:themeColor="text1" w:themeTint="F2"/>
                <w:lang w:val="hr-HR"/>
              </w:rPr>
              <w:t xml:space="preserve"> Ako su korisnici </w:t>
            </w:r>
            <w:r w:rsidR="00157356" w:rsidRPr="00157356">
              <w:rPr>
                <w:rFonts w:ascii="Arial Narrow" w:hAnsi="Arial Narrow"/>
                <w:color w:val="0D0D0D" w:themeColor="text1" w:themeTint="F2"/>
                <w:lang w:val="hr-HR"/>
              </w:rPr>
              <w:lastRenderedPageBreak/>
              <w:t>upisani u registar obveznika PDV-a ali ne s osnove obavljanja isporuke u okviru svoje ovlasti (npr. tijela državne uprave te jedinice lokalne i područne /regionalne samouprave,  takvi korisnici mogu kao pretporez odbiti samo PDV sadržan u ulaznim računima koji se odnose na gospodarsku djelatnost, a ne mogu odbiti PDV koji je sadržan u računima isporuke djelatnosti iz svoje ovlasti. Znači, ako bi ovi korisnici sredstva iz strukturnih instrumenata koristili za provedbu aktivnosti iz svoje ovlasti, tada im je PDV prihvatljiv</w:t>
            </w:r>
            <w:r w:rsidR="00157356">
              <w:rPr>
                <w:rFonts w:ascii="Arial Narrow" w:hAnsi="Arial Narrow"/>
                <w:color w:val="0D0D0D" w:themeColor="text1" w:themeTint="F2"/>
                <w:lang w:val="hr-HR"/>
              </w:rPr>
              <w:t xml:space="preserve"> izdatak jer ga ne mogu odbiti </w:t>
            </w:r>
            <w:r w:rsidR="00157356" w:rsidRPr="00157356">
              <w:rPr>
                <w:rFonts w:ascii="Arial Narrow" w:hAnsi="Arial Narrow"/>
                <w:color w:val="0D0D0D" w:themeColor="text1" w:themeTint="F2"/>
                <w:lang w:val="hr-HR"/>
              </w:rPr>
              <w:t>kao pretporez. U tom slučaju bi korisnici koristili pisanu izjavu da nemaju mogućnost odbitka PDV-a za određenu nabavu u okviru projekta financiranog iz strukturnih instrumenata.</w:t>
            </w:r>
          </w:p>
        </w:tc>
      </w:tr>
      <w:tr w:rsidR="00D6355E" w:rsidRPr="00E81F79" w14:paraId="1BFFD4D2" w14:textId="77777777" w:rsidTr="004F24BA">
        <w:tc>
          <w:tcPr>
            <w:tcW w:w="4508" w:type="dxa"/>
            <w:shd w:val="clear" w:color="auto" w:fill="auto"/>
          </w:tcPr>
          <w:p w14:paraId="470691DD" w14:textId="3001E168" w:rsidR="00D6355E" w:rsidRPr="004F24BA" w:rsidRDefault="00224661" w:rsidP="008C6D25">
            <w:pPr>
              <w:pStyle w:val="ListParagraph"/>
              <w:numPr>
                <w:ilvl w:val="0"/>
                <w:numId w:val="4"/>
              </w:numPr>
              <w:jc w:val="both"/>
              <w:rPr>
                <w:rFonts w:ascii="Arial Narrow" w:hAnsi="Arial Narrow"/>
                <w:lang w:val="hr-HR"/>
              </w:rPr>
            </w:pPr>
            <w:r w:rsidRPr="004F24BA">
              <w:rPr>
                <w:rFonts w:ascii="Arial Narrow" w:hAnsi="Arial Narrow"/>
                <w:lang w:val="hr-HR"/>
              </w:rPr>
              <w:lastRenderedPageBreak/>
              <w:t xml:space="preserve">S obzirom da je prije bilo veće </w:t>
            </w:r>
            <w:r w:rsidR="00560A99" w:rsidRPr="004F24BA">
              <w:rPr>
                <w:rFonts w:ascii="Arial Narrow" w:hAnsi="Arial Narrow"/>
                <w:lang w:val="hr-HR"/>
              </w:rPr>
              <w:t>pred financiranje</w:t>
            </w:r>
            <w:r w:rsidRPr="004F24BA">
              <w:rPr>
                <w:rFonts w:ascii="Arial Narrow" w:hAnsi="Arial Narrow"/>
                <w:lang w:val="hr-HR"/>
              </w:rPr>
              <w:t xml:space="preserve"> – treba</w:t>
            </w:r>
            <w:r w:rsidR="00EF1271">
              <w:rPr>
                <w:rFonts w:ascii="Arial Narrow" w:hAnsi="Arial Narrow"/>
                <w:lang w:val="hr-HR"/>
              </w:rPr>
              <w:t xml:space="preserve"> </w:t>
            </w:r>
            <w:r w:rsidRPr="004F24BA">
              <w:rPr>
                <w:rFonts w:ascii="Arial Narrow" w:hAnsi="Arial Narrow"/>
                <w:lang w:val="hr-HR"/>
              </w:rPr>
              <w:t xml:space="preserve">li </w:t>
            </w:r>
            <w:r w:rsidR="008C6D25">
              <w:rPr>
                <w:rFonts w:ascii="Arial Narrow" w:hAnsi="Arial Narrow"/>
                <w:lang w:val="hr-HR"/>
              </w:rPr>
              <w:t xml:space="preserve">veleučilište </w:t>
            </w:r>
            <w:r w:rsidRPr="004F24BA">
              <w:rPr>
                <w:rFonts w:ascii="Arial Narrow" w:hAnsi="Arial Narrow"/>
                <w:lang w:val="hr-HR"/>
              </w:rPr>
              <w:t>tražit</w:t>
            </w:r>
            <w:r w:rsidR="008C6D25">
              <w:rPr>
                <w:rFonts w:ascii="Arial Narrow" w:hAnsi="Arial Narrow"/>
                <w:lang w:val="hr-HR"/>
              </w:rPr>
              <w:t>i</w:t>
            </w:r>
            <w:r w:rsidRPr="004F24BA">
              <w:rPr>
                <w:rFonts w:ascii="Arial Narrow" w:hAnsi="Arial Narrow"/>
                <w:lang w:val="hr-HR"/>
              </w:rPr>
              <w:t xml:space="preserve"> dozvol</w:t>
            </w:r>
            <w:r w:rsidR="008253FF" w:rsidRPr="004F24BA">
              <w:rPr>
                <w:rFonts w:ascii="Arial Narrow" w:hAnsi="Arial Narrow"/>
                <w:lang w:val="hr-HR"/>
              </w:rPr>
              <w:t>u ministarstva za trošenje</w:t>
            </w:r>
            <w:r w:rsidR="00B535E1">
              <w:rPr>
                <w:rFonts w:ascii="Arial Narrow" w:hAnsi="Arial Narrow"/>
                <w:lang w:val="hr-HR"/>
              </w:rPr>
              <w:t xml:space="preserve"> sredstava</w:t>
            </w:r>
            <w:r w:rsidR="008253FF" w:rsidRPr="004F24BA">
              <w:rPr>
                <w:rFonts w:ascii="Arial Narrow" w:hAnsi="Arial Narrow"/>
                <w:lang w:val="hr-HR"/>
              </w:rPr>
              <w:t>?</w:t>
            </w:r>
          </w:p>
        </w:tc>
        <w:tc>
          <w:tcPr>
            <w:tcW w:w="4508" w:type="dxa"/>
            <w:shd w:val="clear" w:color="auto" w:fill="auto"/>
          </w:tcPr>
          <w:p w14:paraId="6216B3E2" w14:textId="4D6119EF" w:rsidR="00D6355E" w:rsidRPr="006C5B14" w:rsidRDefault="00B535E1" w:rsidP="00EA4E4F">
            <w:pPr>
              <w:jc w:val="both"/>
              <w:rPr>
                <w:rFonts w:ascii="Arial Narrow" w:hAnsi="Arial Narrow"/>
                <w:b/>
                <w:color w:val="000000" w:themeColor="text1"/>
                <w:lang w:val="hr-HR"/>
              </w:rPr>
            </w:pPr>
            <w:r>
              <w:rPr>
                <w:rFonts w:ascii="Arial Narrow" w:hAnsi="Arial Narrow"/>
                <w:color w:val="000000" w:themeColor="text1"/>
                <w:lang w:val="hr-HR"/>
              </w:rPr>
              <w:t>Trošenje projektnih sredstava podliježe istim pravilima kao i upravljanje proračunskim sredstvima, odnosno, u slučaju veleučilišta i visokih škola, provodi se u skladu s</w:t>
            </w:r>
            <w:r w:rsidRPr="00B535E1">
              <w:rPr>
                <w:rFonts w:ascii="Arial Narrow" w:hAnsi="Arial Narrow"/>
                <w:color w:val="000000" w:themeColor="text1"/>
                <w:lang w:val="hr-HR"/>
              </w:rPr>
              <w:t xml:space="preserve"> </w:t>
            </w:r>
            <w:r>
              <w:rPr>
                <w:rFonts w:ascii="Arial Narrow" w:hAnsi="Arial Narrow"/>
                <w:color w:val="000000" w:themeColor="text1"/>
                <w:lang w:val="hr-HR"/>
              </w:rPr>
              <w:t>U</w:t>
            </w:r>
            <w:r w:rsidR="008C6D25" w:rsidRPr="00B535E1">
              <w:rPr>
                <w:rFonts w:ascii="Arial Narrow" w:hAnsi="Arial Narrow"/>
                <w:color w:val="000000" w:themeColor="text1"/>
                <w:lang w:val="hr-HR"/>
              </w:rPr>
              <w:t>redb</w:t>
            </w:r>
            <w:r>
              <w:rPr>
                <w:rFonts w:ascii="Arial Narrow" w:hAnsi="Arial Narrow"/>
                <w:color w:val="000000" w:themeColor="text1"/>
                <w:lang w:val="hr-HR"/>
              </w:rPr>
              <w:t>om</w:t>
            </w:r>
            <w:r w:rsidR="008C6D25" w:rsidRPr="00B535E1">
              <w:rPr>
                <w:rFonts w:ascii="Arial Narrow" w:hAnsi="Arial Narrow"/>
                <w:color w:val="000000" w:themeColor="text1"/>
                <w:lang w:val="hr-HR"/>
              </w:rPr>
              <w:t xml:space="preserve"> o os</w:t>
            </w:r>
            <w:r>
              <w:rPr>
                <w:rFonts w:ascii="Arial Narrow" w:hAnsi="Arial Narrow"/>
                <w:color w:val="000000" w:themeColor="text1"/>
                <w:lang w:val="hr-HR"/>
              </w:rPr>
              <w:t>n</w:t>
            </w:r>
            <w:r w:rsidR="008C6D25" w:rsidRPr="00B535E1">
              <w:rPr>
                <w:rFonts w:ascii="Arial Narrow" w:hAnsi="Arial Narrow"/>
                <w:color w:val="000000" w:themeColor="text1"/>
                <w:lang w:val="hr-HR"/>
              </w:rPr>
              <w:t>ivanju</w:t>
            </w:r>
            <w:r>
              <w:rPr>
                <w:rFonts w:ascii="Arial Narrow" w:hAnsi="Arial Narrow"/>
                <w:color w:val="000000" w:themeColor="text1"/>
                <w:lang w:val="hr-HR"/>
              </w:rPr>
              <w:t xml:space="preserve"> i Statutom visokog učilišta.</w:t>
            </w:r>
          </w:p>
        </w:tc>
      </w:tr>
      <w:tr w:rsidR="004F24BA" w:rsidRPr="004F24BA" w14:paraId="1F06B984" w14:textId="77777777" w:rsidTr="00D6355E">
        <w:tc>
          <w:tcPr>
            <w:tcW w:w="4508" w:type="dxa"/>
          </w:tcPr>
          <w:p w14:paraId="40944F76" w14:textId="6275EBFF" w:rsidR="00D6355E" w:rsidRPr="00163931" w:rsidRDefault="004F24BA" w:rsidP="00731101">
            <w:pPr>
              <w:pStyle w:val="ListParagraph"/>
              <w:numPr>
                <w:ilvl w:val="0"/>
                <w:numId w:val="4"/>
              </w:numPr>
              <w:jc w:val="both"/>
              <w:rPr>
                <w:rFonts w:ascii="Arial Narrow" w:hAnsi="Arial Narrow"/>
                <w:color w:val="000000" w:themeColor="text1"/>
                <w:lang w:val="hr-HR"/>
              </w:rPr>
            </w:pPr>
            <w:r w:rsidRPr="00163931">
              <w:rPr>
                <w:rFonts w:ascii="Arial Narrow" w:hAnsi="Arial Narrow"/>
                <w:color w:val="000000" w:themeColor="text1"/>
                <w:lang w:val="hr-HR"/>
              </w:rPr>
              <w:t>Možete li pojasniti na koji način će se realizirati pred</w:t>
            </w:r>
            <w:r w:rsidR="006C5B14" w:rsidRPr="00163931">
              <w:rPr>
                <w:rFonts w:ascii="Arial Narrow" w:hAnsi="Arial Narrow"/>
                <w:color w:val="000000" w:themeColor="text1"/>
                <w:lang w:val="hr-HR"/>
              </w:rPr>
              <w:t>-</w:t>
            </w:r>
            <w:r w:rsidRPr="00163931">
              <w:rPr>
                <w:rFonts w:ascii="Arial Narrow" w:hAnsi="Arial Narrow"/>
                <w:color w:val="000000" w:themeColor="text1"/>
                <w:lang w:val="hr-HR"/>
              </w:rPr>
              <w:t xml:space="preserve">financiranje? </w:t>
            </w:r>
          </w:p>
        </w:tc>
        <w:tc>
          <w:tcPr>
            <w:tcW w:w="4508" w:type="dxa"/>
          </w:tcPr>
          <w:p w14:paraId="14B92D2C" w14:textId="4902508A" w:rsidR="00D6355E" w:rsidRPr="00163931" w:rsidRDefault="0002192B" w:rsidP="00EA4E4F">
            <w:pPr>
              <w:jc w:val="both"/>
              <w:rPr>
                <w:rFonts w:ascii="Arial Narrow" w:hAnsi="Arial Narrow"/>
                <w:color w:val="000000" w:themeColor="text1"/>
                <w:lang w:val="hr-HR"/>
              </w:rPr>
            </w:pPr>
            <w:r w:rsidRPr="0002192B">
              <w:rPr>
                <w:rFonts w:ascii="Arial Narrow" w:hAnsi="Arial Narrow"/>
                <w:color w:val="000000" w:themeColor="text1"/>
                <w:lang w:val="hr-HR"/>
              </w:rPr>
              <w:t>Način na koji će se realizirati pred-financiranje (predujam) definiraju Posebni te Opći uvjeti ugovora. Prema Općim uvjetima ugovora (čl. 15.30.) Zahtjev za plaćanje predujma u Projektu PT2 procjenjuje tijekom 10 radnih dana nakon što ga zaprimi. Nakon procjene navedenog zahtjeva, PT2 priprema i dostavlja PT-u 1 Zahtjev za plaćanje. PT1 provjerava primljeni Zahtjev za plaćanje od PT-a 2 te, ako je pravilno pripremljen, odobrava ga i priprema Zahtjev za plaćanje od PT-a 1 prema Tijelu za plaćanje u roku od 7 kalendarskih dana od datuma registracije primljenog Zahtjeva za plaćanje od PT-a 2. Slijedom toga, Tijelo za plaćanje izvršava uplatu na Korisnikov bankovni račun naveden u Posebnim uvjetima, na datum koji je naveden u Zahtjevu za plaćan je od PT-a 1 prema Tijelu za plaćanje. Dodatno, upućujemo na članke 15.26 -15.29. Općih uvjeta Ugovora, kao i na točku 3. Uputa za prijavitelje.</w:t>
            </w:r>
          </w:p>
        </w:tc>
      </w:tr>
      <w:tr w:rsidR="00D6355E" w:rsidRPr="00E81F79" w14:paraId="2C2DE32C" w14:textId="77777777" w:rsidTr="00D6355E">
        <w:tc>
          <w:tcPr>
            <w:tcW w:w="4508" w:type="dxa"/>
          </w:tcPr>
          <w:p w14:paraId="0536C778" w14:textId="218EED7C" w:rsidR="00D6355E" w:rsidRDefault="004E2DCA" w:rsidP="00731101">
            <w:pPr>
              <w:pStyle w:val="ListParagraph"/>
              <w:numPr>
                <w:ilvl w:val="0"/>
                <w:numId w:val="4"/>
              </w:numPr>
              <w:jc w:val="both"/>
              <w:rPr>
                <w:rFonts w:ascii="Arial Narrow" w:hAnsi="Arial Narrow"/>
                <w:lang w:val="hr-HR"/>
              </w:rPr>
            </w:pPr>
            <w:r w:rsidRPr="00560A99">
              <w:rPr>
                <w:rFonts w:ascii="Arial Narrow" w:hAnsi="Arial Narrow"/>
                <w:lang w:val="hr-HR"/>
              </w:rPr>
              <w:t>Što se smatra studijskim pu</w:t>
            </w:r>
            <w:r w:rsidR="00731101">
              <w:rPr>
                <w:rFonts w:ascii="Arial Narrow" w:hAnsi="Arial Narrow"/>
                <w:lang w:val="hr-HR"/>
              </w:rPr>
              <w:t>tovanjem? Ograničeni broj osoba?</w:t>
            </w:r>
          </w:p>
          <w:p w14:paraId="69A06708" w14:textId="77777777" w:rsidR="00731101" w:rsidRDefault="00D52003" w:rsidP="00731101">
            <w:pPr>
              <w:pStyle w:val="ListParagraph"/>
              <w:jc w:val="both"/>
              <w:rPr>
                <w:rFonts w:ascii="Arial Narrow" w:hAnsi="Arial Narrow"/>
                <w:lang w:val="hr-HR"/>
              </w:rPr>
            </w:pPr>
            <w:r>
              <w:rPr>
                <w:rFonts w:ascii="Arial Narrow" w:hAnsi="Arial Narrow"/>
                <w:lang w:val="hr-HR"/>
              </w:rPr>
              <w:t xml:space="preserve">    </w:t>
            </w:r>
            <w:r w:rsidR="00731101">
              <w:rPr>
                <w:rFonts w:ascii="Arial Narrow" w:hAnsi="Arial Narrow"/>
                <w:lang w:val="hr-HR"/>
              </w:rPr>
              <w:t>Ograničena sredstva?</w:t>
            </w:r>
          </w:p>
          <w:p w14:paraId="413873B9" w14:textId="3C912352" w:rsidR="004C4CA0" w:rsidRPr="00560A99" w:rsidRDefault="004C4CA0" w:rsidP="00731101">
            <w:pPr>
              <w:pStyle w:val="ListParagraph"/>
              <w:jc w:val="both"/>
              <w:rPr>
                <w:rFonts w:ascii="Arial Narrow" w:hAnsi="Arial Narrow"/>
                <w:lang w:val="hr-HR"/>
              </w:rPr>
            </w:pPr>
            <w:r>
              <w:rPr>
                <w:rFonts w:ascii="Arial Narrow" w:hAnsi="Arial Narrow"/>
                <w:lang w:val="hr-HR"/>
              </w:rPr>
              <w:t xml:space="preserve">    Jesu li troškovi putovanja ograničeni? </w:t>
            </w:r>
          </w:p>
        </w:tc>
        <w:tc>
          <w:tcPr>
            <w:tcW w:w="4508" w:type="dxa"/>
          </w:tcPr>
          <w:p w14:paraId="44D84389" w14:textId="505643CE" w:rsidR="00B01C02" w:rsidRDefault="00E66558" w:rsidP="00CE5006">
            <w:pPr>
              <w:jc w:val="both"/>
              <w:rPr>
                <w:rFonts w:ascii="Arial Narrow" w:hAnsi="Arial Narrow"/>
                <w:lang w:val="hr-HR"/>
              </w:rPr>
            </w:pPr>
            <w:r>
              <w:rPr>
                <w:rFonts w:ascii="Arial Narrow" w:hAnsi="Arial Narrow"/>
                <w:lang w:val="hr-HR"/>
              </w:rPr>
              <w:t xml:space="preserve">Studijsko putovanje je </w:t>
            </w:r>
            <w:r w:rsidR="0027009D">
              <w:rPr>
                <w:rFonts w:ascii="Arial Narrow" w:hAnsi="Arial Narrow"/>
                <w:lang w:val="hr-HR"/>
              </w:rPr>
              <w:t xml:space="preserve">prihvatljiva </w:t>
            </w:r>
            <w:r>
              <w:rPr>
                <w:rFonts w:ascii="Arial Narrow" w:hAnsi="Arial Narrow"/>
                <w:lang w:val="hr-HR"/>
              </w:rPr>
              <w:t xml:space="preserve">projektna aktivnost </w:t>
            </w:r>
            <w:r w:rsidR="0027009D">
              <w:rPr>
                <w:rFonts w:ascii="Arial Narrow" w:hAnsi="Arial Narrow"/>
                <w:lang w:val="hr-HR"/>
              </w:rPr>
              <w:t xml:space="preserve">koja treba biti </w:t>
            </w:r>
            <w:r w:rsidR="0002192B">
              <w:rPr>
                <w:rFonts w:ascii="Arial Narrow" w:hAnsi="Arial Narrow"/>
                <w:lang w:val="hr-HR"/>
              </w:rPr>
              <w:t xml:space="preserve">opravdana i </w:t>
            </w:r>
            <w:r w:rsidR="0027009D">
              <w:rPr>
                <w:rFonts w:ascii="Arial Narrow" w:hAnsi="Arial Narrow"/>
                <w:lang w:val="hr-HR"/>
              </w:rPr>
              <w:t xml:space="preserve">u funkciji realizacije ciljeva </w:t>
            </w:r>
            <w:r w:rsidR="0002192B">
              <w:rPr>
                <w:rFonts w:ascii="Arial Narrow" w:hAnsi="Arial Narrow"/>
                <w:lang w:val="hr-HR"/>
              </w:rPr>
              <w:t xml:space="preserve">ovog </w:t>
            </w:r>
            <w:r w:rsidR="0027009D">
              <w:rPr>
                <w:rFonts w:ascii="Arial Narrow" w:hAnsi="Arial Narrow"/>
                <w:lang w:val="hr-HR"/>
              </w:rPr>
              <w:t>Poziva. Ograničenje broja osoba u Uputama za prijavitelje nije navedeno te ovisi o racionalnom i opravdanom ulaganju u jačanje kapaciteta ciljnih skupina</w:t>
            </w:r>
            <w:r w:rsidR="00B01C02">
              <w:rPr>
                <w:rFonts w:ascii="Arial Narrow" w:hAnsi="Arial Narrow"/>
                <w:lang w:val="hr-HR"/>
              </w:rPr>
              <w:t xml:space="preserve"> te provoditelja projektnih aktivnosti</w:t>
            </w:r>
            <w:r w:rsidR="004C4CA0">
              <w:rPr>
                <w:rFonts w:ascii="Arial Narrow" w:hAnsi="Arial Narrow"/>
                <w:lang w:val="hr-HR"/>
              </w:rPr>
              <w:t>, a o</w:t>
            </w:r>
            <w:r w:rsidR="00B01C02">
              <w:rPr>
                <w:rFonts w:ascii="Arial Narrow" w:hAnsi="Arial Narrow"/>
                <w:lang w:val="hr-HR"/>
              </w:rPr>
              <w:t>graničenje sredstava za studi</w:t>
            </w:r>
            <w:r w:rsidR="004C4CA0">
              <w:rPr>
                <w:rFonts w:ascii="Arial Narrow" w:hAnsi="Arial Narrow"/>
                <w:lang w:val="hr-HR"/>
              </w:rPr>
              <w:t xml:space="preserve">jska putovanja koja su sama po sebi </w:t>
            </w:r>
            <w:r w:rsidR="00B01C02">
              <w:rPr>
                <w:rFonts w:ascii="Arial Narrow" w:hAnsi="Arial Narrow"/>
                <w:lang w:val="hr-HR"/>
              </w:rPr>
              <w:t>prihvatljiva aktivnost vezano je uz racionalno, projektno i tržišno opravdano ulaganje u ljudske potencijale konkretnoga projekta.</w:t>
            </w:r>
          </w:p>
          <w:p w14:paraId="2DBC4EF5" w14:textId="7085B54D" w:rsidR="00486C33" w:rsidRPr="00560A99" w:rsidRDefault="00F877E3" w:rsidP="00FF580B">
            <w:pPr>
              <w:jc w:val="both"/>
              <w:rPr>
                <w:rFonts w:ascii="Arial Narrow" w:hAnsi="Arial Narrow"/>
                <w:lang w:val="hr-HR"/>
              </w:rPr>
            </w:pPr>
            <w:r w:rsidRPr="00FF580B">
              <w:rPr>
                <w:rFonts w:ascii="Arial Narrow" w:hAnsi="Arial Narrow"/>
                <w:lang w:val="hr-HR"/>
              </w:rPr>
              <w:t xml:space="preserve">U </w:t>
            </w:r>
            <w:r w:rsidR="00486C33" w:rsidRPr="00FF580B">
              <w:rPr>
                <w:rFonts w:ascii="Arial Narrow" w:hAnsi="Arial Narrow"/>
                <w:lang w:val="hr-HR"/>
              </w:rPr>
              <w:t xml:space="preserve">točki 4.3.2. Uputa za prijavitelje </w:t>
            </w:r>
            <w:r w:rsidR="00FF580B" w:rsidRPr="00FF580B">
              <w:rPr>
                <w:rFonts w:ascii="Arial Narrow" w:hAnsi="Arial Narrow"/>
                <w:lang w:val="hr-HR"/>
              </w:rPr>
              <w:t xml:space="preserve">(str. 19) </w:t>
            </w:r>
            <w:r w:rsidR="00486C33" w:rsidRPr="00FF580B">
              <w:rPr>
                <w:rFonts w:ascii="Arial Narrow" w:hAnsi="Arial Narrow"/>
                <w:lang w:val="hr-HR"/>
              </w:rPr>
              <w:t xml:space="preserve">u dijelu koji se odnosi na troškove sudjelovanja ciljnih </w:t>
            </w:r>
            <w:r w:rsidR="00FF580B" w:rsidRPr="00FF580B">
              <w:rPr>
                <w:rFonts w:ascii="Arial Narrow" w:hAnsi="Arial Narrow"/>
                <w:lang w:val="hr-HR"/>
              </w:rPr>
              <w:t>s</w:t>
            </w:r>
            <w:r w:rsidR="00486C33" w:rsidRPr="00FF580B">
              <w:rPr>
                <w:rFonts w:ascii="Arial Narrow" w:hAnsi="Arial Narrow"/>
                <w:lang w:val="hr-HR"/>
              </w:rPr>
              <w:t>kup</w:t>
            </w:r>
            <w:r w:rsidRPr="00FF580B">
              <w:rPr>
                <w:rFonts w:ascii="Arial Narrow" w:hAnsi="Arial Narrow"/>
                <w:lang w:val="hr-HR"/>
              </w:rPr>
              <w:t>ina u projektnim aktivnostima navedeno je da su t</w:t>
            </w:r>
            <w:r w:rsidR="00486C33" w:rsidRPr="00FF580B">
              <w:rPr>
                <w:rFonts w:ascii="Arial Narrow" w:hAnsi="Arial Narrow"/>
                <w:lang w:val="hr-HR"/>
              </w:rPr>
              <w:t xml:space="preserve">roškovi studijskih putovanja </w:t>
            </w:r>
            <w:r w:rsidR="00FF580B" w:rsidRPr="00DB1D26">
              <w:rPr>
                <w:rFonts w:ascii="Arial Narrow" w:hAnsi="Arial Narrow"/>
                <w:lang w:val="hr-HR"/>
              </w:rPr>
              <w:t>u zemlji i inozemstvu</w:t>
            </w:r>
            <w:r w:rsidR="00FF580B">
              <w:rPr>
                <w:rFonts w:ascii="Arial Narrow" w:hAnsi="Arial Narrow"/>
                <w:lang w:val="hr-HR"/>
              </w:rPr>
              <w:t xml:space="preserve"> </w:t>
            </w:r>
            <w:r w:rsidR="00FF580B" w:rsidRPr="00DB1D26">
              <w:rPr>
                <w:rFonts w:ascii="Arial Narrow" w:hAnsi="Arial Narrow"/>
                <w:lang w:val="hr-HR"/>
              </w:rPr>
              <w:t xml:space="preserve">za ciljne skupine koje sudjeluju u projektnim aktivnostima </w:t>
            </w:r>
            <w:r w:rsidR="00486C33" w:rsidRPr="00FF580B">
              <w:rPr>
                <w:rFonts w:ascii="Arial Narrow" w:hAnsi="Arial Narrow"/>
                <w:lang w:val="hr-HR"/>
              </w:rPr>
              <w:t xml:space="preserve">ograničeni do 10% od ukupnih </w:t>
            </w:r>
            <w:r w:rsidR="00486C33" w:rsidRPr="00FF580B">
              <w:rPr>
                <w:rFonts w:ascii="Arial Narrow" w:hAnsi="Arial Narrow"/>
                <w:lang w:val="hr-HR"/>
              </w:rPr>
              <w:lastRenderedPageBreak/>
              <w:t>prihvatljivih troškova projekta</w:t>
            </w:r>
            <w:r w:rsidR="00FF580B" w:rsidRPr="00FF580B">
              <w:rPr>
                <w:rFonts w:ascii="Arial Narrow" w:hAnsi="Arial Narrow"/>
                <w:lang w:val="hr-HR"/>
              </w:rPr>
              <w:t>.</w:t>
            </w:r>
          </w:p>
        </w:tc>
      </w:tr>
      <w:tr w:rsidR="00D6355E" w:rsidRPr="00E81F79" w14:paraId="51A4CDAD" w14:textId="77777777" w:rsidTr="00270D4C">
        <w:trPr>
          <w:trHeight w:val="1550"/>
        </w:trPr>
        <w:tc>
          <w:tcPr>
            <w:tcW w:w="4508" w:type="dxa"/>
          </w:tcPr>
          <w:p w14:paraId="66B5C933" w14:textId="77777777" w:rsidR="00D6355E" w:rsidRPr="00560A99" w:rsidRDefault="004E2DCA" w:rsidP="00731101">
            <w:pPr>
              <w:pStyle w:val="ListParagraph"/>
              <w:numPr>
                <w:ilvl w:val="0"/>
                <w:numId w:val="4"/>
              </w:numPr>
              <w:jc w:val="both"/>
              <w:rPr>
                <w:rFonts w:ascii="Arial Narrow" w:hAnsi="Arial Narrow"/>
                <w:lang w:val="hr-HR"/>
              </w:rPr>
            </w:pPr>
            <w:r w:rsidRPr="00560A99">
              <w:rPr>
                <w:rFonts w:ascii="Arial Narrow" w:hAnsi="Arial Narrow"/>
                <w:lang w:val="hr-HR"/>
              </w:rPr>
              <w:lastRenderedPageBreak/>
              <w:t>Ograničena studijska putovanja – samo za ciljne skupine?</w:t>
            </w:r>
          </w:p>
        </w:tc>
        <w:tc>
          <w:tcPr>
            <w:tcW w:w="4508" w:type="dxa"/>
          </w:tcPr>
          <w:p w14:paraId="66F49FD6" w14:textId="2BE14100" w:rsidR="00915CE1" w:rsidRPr="00560A99" w:rsidRDefault="00915CE1" w:rsidP="00EA4E4F">
            <w:pPr>
              <w:jc w:val="both"/>
              <w:rPr>
                <w:rFonts w:ascii="Arial Narrow" w:hAnsi="Arial Narrow"/>
                <w:lang w:val="hr-HR"/>
              </w:rPr>
            </w:pPr>
            <w:r>
              <w:rPr>
                <w:rFonts w:ascii="Arial Narrow" w:hAnsi="Arial Narrow"/>
                <w:lang w:val="hr-HR"/>
              </w:rPr>
              <w:t xml:space="preserve">Kao što je navedeno u referenci na str. 19.: </w:t>
            </w:r>
            <w:r w:rsidRPr="00915CE1">
              <w:rPr>
                <w:rFonts w:ascii="Arial Narrow" w:hAnsi="Arial Narrow"/>
                <w:lang w:val="hr-HR"/>
              </w:rPr>
              <w:t xml:space="preserve">Troškovi studijskih putovanja ograničeni su do 10% od ukupnih </w:t>
            </w:r>
            <w:r w:rsidR="00270D4C">
              <w:rPr>
                <w:rFonts w:ascii="Arial Narrow" w:hAnsi="Arial Narrow"/>
                <w:lang w:val="hr-HR"/>
              </w:rPr>
              <w:t xml:space="preserve">prihvatljivih troškova projekta, a provjera poštivanja ovog ograničenja će se izvršiti u 4. fazi evaluacije -  provjera prihvatljivosti projekata (provjera prihvatljivosti troškova). </w:t>
            </w:r>
            <w:r w:rsidR="00FF580B">
              <w:rPr>
                <w:rFonts w:ascii="Arial Narrow" w:hAnsi="Arial Narrow"/>
                <w:lang w:val="hr-HR"/>
              </w:rPr>
              <w:t>Molimo vidjeti i pitanje br. 20.</w:t>
            </w:r>
          </w:p>
        </w:tc>
      </w:tr>
      <w:tr w:rsidR="00D6355E" w:rsidRPr="00560A99" w14:paraId="504E10A8" w14:textId="77777777" w:rsidTr="00D6355E">
        <w:tc>
          <w:tcPr>
            <w:tcW w:w="4508" w:type="dxa"/>
          </w:tcPr>
          <w:p w14:paraId="3A734622" w14:textId="23C40AE3" w:rsidR="00D6355E" w:rsidRPr="00163931" w:rsidRDefault="004E2DCA" w:rsidP="00731101">
            <w:pPr>
              <w:pStyle w:val="ListParagraph"/>
              <w:numPr>
                <w:ilvl w:val="0"/>
                <w:numId w:val="4"/>
              </w:numPr>
              <w:jc w:val="both"/>
              <w:rPr>
                <w:rFonts w:ascii="Arial Narrow" w:hAnsi="Arial Narrow"/>
                <w:lang w:val="hr-HR"/>
              </w:rPr>
            </w:pPr>
            <w:r w:rsidRPr="00163931">
              <w:rPr>
                <w:rFonts w:ascii="Arial Narrow" w:hAnsi="Arial Narrow"/>
                <w:lang w:val="hr-HR"/>
              </w:rPr>
              <w:t>Može li na projektu biti angažiran volonter?</w:t>
            </w:r>
          </w:p>
        </w:tc>
        <w:tc>
          <w:tcPr>
            <w:tcW w:w="4508" w:type="dxa"/>
          </w:tcPr>
          <w:p w14:paraId="7356497C" w14:textId="02779B0A" w:rsidR="00D6355E" w:rsidRPr="00163931" w:rsidRDefault="00486C33" w:rsidP="00486C33">
            <w:pPr>
              <w:rPr>
                <w:rFonts w:ascii="Arial Narrow" w:hAnsi="Arial Narrow"/>
                <w:lang w:val="hr-HR"/>
              </w:rPr>
            </w:pPr>
            <w:r>
              <w:rPr>
                <w:rFonts w:ascii="Arial Narrow" w:hAnsi="Arial Narrow"/>
                <w:lang w:val="hr-HR"/>
              </w:rPr>
              <w:t>U</w:t>
            </w:r>
            <w:r w:rsidR="00BD419D" w:rsidRPr="00163931">
              <w:rPr>
                <w:rFonts w:ascii="Arial Narrow" w:hAnsi="Arial Narrow"/>
                <w:lang w:val="hr-HR"/>
              </w:rPr>
              <w:t xml:space="preserve"> </w:t>
            </w:r>
            <w:r>
              <w:rPr>
                <w:rFonts w:ascii="Arial Narrow" w:hAnsi="Arial Narrow"/>
                <w:lang w:val="hr-HR"/>
              </w:rPr>
              <w:t xml:space="preserve">okviru ovog Poziva volontiranje nije predviđeno. </w:t>
            </w:r>
          </w:p>
        </w:tc>
      </w:tr>
      <w:tr w:rsidR="00D6355E" w:rsidRPr="00E81F79" w14:paraId="57140EC9" w14:textId="77777777" w:rsidTr="00D6355E">
        <w:tc>
          <w:tcPr>
            <w:tcW w:w="4508" w:type="dxa"/>
          </w:tcPr>
          <w:p w14:paraId="5DE1EB8D" w14:textId="77777777" w:rsidR="00D6355E" w:rsidRPr="00163931" w:rsidRDefault="004E2DCA" w:rsidP="00731101">
            <w:pPr>
              <w:pStyle w:val="ListParagraph"/>
              <w:numPr>
                <w:ilvl w:val="0"/>
                <w:numId w:val="4"/>
              </w:numPr>
              <w:jc w:val="both"/>
              <w:rPr>
                <w:rFonts w:ascii="Arial Narrow" w:hAnsi="Arial Narrow"/>
                <w:lang w:val="hr-HR"/>
              </w:rPr>
            </w:pPr>
            <w:r w:rsidRPr="00163931">
              <w:rPr>
                <w:rFonts w:ascii="Arial Narrow" w:hAnsi="Arial Narrow"/>
                <w:lang w:val="hr-HR"/>
              </w:rPr>
              <w:t>U slučaju kašnjenja faza evaluacije – što sa datumima početka koje smo naveli u prijavnom obrascu A?</w:t>
            </w:r>
          </w:p>
        </w:tc>
        <w:tc>
          <w:tcPr>
            <w:tcW w:w="4508" w:type="dxa"/>
          </w:tcPr>
          <w:p w14:paraId="3F1656FD" w14:textId="21E469F8" w:rsidR="00D80E93" w:rsidRPr="00163931" w:rsidRDefault="00486C33" w:rsidP="008A7B0D">
            <w:pPr>
              <w:jc w:val="both"/>
              <w:rPr>
                <w:rFonts w:ascii="Arial Narrow" w:hAnsi="Arial Narrow"/>
                <w:lang w:val="hr-HR"/>
              </w:rPr>
            </w:pPr>
            <w:r w:rsidRPr="00486C33">
              <w:rPr>
                <w:rFonts w:ascii="Arial Narrow" w:hAnsi="Arial Narrow"/>
                <w:lang w:val="hr-HR"/>
              </w:rPr>
              <w:t xml:space="preserve">Napominjemo da su datumi iz točke 5. Izmijenjenog Poziva indikativni. Nadalje, prema točki 4.2.2. Uputa za prijavitelje, rok za početak provedbe projekta je dan nakon sklapanja ugovora o dodjeli bespovratnih sredstava, a o tome će svi potencijalni korisnici biti obaviješteni pismenim putem.  </w:t>
            </w:r>
          </w:p>
        </w:tc>
      </w:tr>
      <w:tr w:rsidR="00D6355E" w:rsidRPr="00E81F79" w14:paraId="5A0DC7A1" w14:textId="77777777" w:rsidTr="00D6355E">
        <w:tc>
          <w:tcPr>
            <w:tcW w:w="4508" w:type="dxa"/>
          </w:tcPr>
          <w:p w14:paraId="37881DEC" w14:textId="77777777" w:rsidR="00D6355E" w:rsidRPr="00560A99" w:rsidRDefault="004E2DCA" w:rsidP="00731101">
            <w:pPr>
              <w:pStyle w:val="ListParagraph"/>
              <w:numPr>
                <w:ilvl w:val="0"/>
                <w:numId w:val="4"/>
              </w:numPr>
              <w:jc w:val="both"/>
              <w:rPr>
                <w:rFonts w:ascii="Arial Narrow" w:hAnsi="Arial Narrow"/>
                <w:lang w:val="hr-HR"/>
              </w:rPr>
            </w:pPr>
            <w:r w:rsidRPr="00560A99">
              <w:rPr>
                <w:rFonts w:ascii="Arial Narrow" w:hAnsi="Arial Narrow"/>
                <w:lang w:val="hr-HR"/>
              </w:rPr>
              <w:t>Jesu li troškovi evaluacije i revizije prihvatljivi?</w:t>
            </w:r>
          </w:p>
        </w:tc>
        <w:tc>
          <w:tcPr>
            <w:tcW w:w="4508" w:type="dxa"/>
          </w:tcPr>
          <w:p w14:paraId="7BF0A599" w14:textId="2D9DC291" w:rsidR="00425F89" w:rsidRPr="00560A99" w:rsidRDefault="00731A95" w:rsidP="00FF580B">
            <w:pPr>
              <w:jc w:val="both"/>
              <w:rPr>
                <w:rFonts w:ascii="Arial Narrow" w:hAnsi="Arial Narrow"/>
                <w:lang w:val="hr-HR"/>
              </w:rPr>
            </w:pPr>
            <w:r>
              <w:rPr>
                <w:rFonts w:ascii="Arial Narrow" w:hAnsi="Arial Narrow"/>
                <w:lang w:val="hr-HR"/>
              </w:rPr>
              <w:t>Troš</w:t>
            </w:r>
            <w:r w:rsidR="00486C33">
              <w:rPr>
                <w:rFonts w:ascii="Arial Narrow" w:hAnsi="Arial Narrow"/>
                <w:lang w:val="hr-HR"/>
              </w:rPr>
              <w:t xml:space="preserve">kovi takve vrste su prihvatljivi, ako su opravdani i nužni, </w:t>
            </w:r>
            <w:r>
              <w:rPr>
                <w:rFonts w:ascii="Arial Narrow" w:hAnsi="Arial Narrow"/>
                <w:lang w:val="hr-HR"/>
              </w:rPr>
              <w:t>ali nisu obavezni</w:t>
            </w:r>
            <w:r w:rsidR="00FF580B">
              <w:rPr>
                <w:rFonts w:ascii="Arial Narrow" w:hAnsi="Arial Narrow"/>
                <w:lang w:val="hr-HR"/>
              </w:rPr>
              <w:t>.</w:t>
            </w:r>
            <w:r w:rsidR="000159C7">
              <w:rPr>
                <w:rFonts w:ascii="Arial Narrow" w:hAnsi="Arial Narrow"/>
                <w:lang w:val="hr-HR"/>
              </w:rPr>
              <w:t xml:space="preserve"> </w:t>
            </w:r>
            <w:r w:rsidR="008A7B0D">
              <w:rPr>
                <w:rFonts w:ascii="Arial Narrow" w:hAnsi="Arial Narrow"/>
                <w:lang w:val="hr-HR"/>
              </w:rPr>
              <w:t xml:space="preserve">Molimo pogledati Upute za prijavitelje, poglavlje Kriteriji prihvatljivosti, točka </w:t>
            </w:r>
            <w:r w:rsidR="008A7B0D" w:rsidRPr="008A7B0D">
              <w:rPr>
                <w:rFonts w:ascii="Arial Narrow" w:hAnsi="Arial Narrow"/>
                <w:lang w:val="hr-HR"/>
              </w:rPr>
              <w:t xml:space="preserve">4.3. </w:t>
            </w:r>
            <w:r w:rsidR="008A7B0D" w:rsidRPr="00DB1D26">
              <w:rPr>
                <w:rFonts w:ascii="Arial Narrow" w:hAnsi="Arial Narrow"/>
                <w:i/>
                <w:iCs/>
                <w:lang w:val="hr-HR"/>
              </w:rPr>
              <w:t>Prihvatljivost troškova</w:t>
            </w:r>
            <w:r w:rsidR="00425F89">
              <w:rPr>
                <w:rFonts w:ascii="Arial Narrow" w:hAnsi="Arial Narrow"/>
                <w:lang w:val="hr-HR"/>
              </w:rPr>
              <w:t>.</w:t>
            </w:r>
            <w:r w:rsidR="00486C33" w:rsidRPr="00E81F79">
              <w:rPr>
                <w:lang w:val="hr-HR"/>
              </w:rPr>
              <w:t xml:space="preserve"> </w:t>
            </w:r>
            <w:r w:rsidR="00486C33" w:rsidRPr="00486C33">
              <w:rPr>
                <w:rFonts w:ascii="Arial Narrow" w:hAnsi="Arial Narrow"/>
                <w:lang w:val="hr-HR"/>
              </w:rPr>
              <w:t>Također napominjemo da prema Uputama za prijavitelje, točka. 6.4., Agencija za strukovno obrazovanje i obrazovanje odraslih, Organizacijska jedinica za upravljanje strukturnim instrumentima ima pravo tražiti od prijavitelja da pruži dodatne informacije kako bi se ocijenila prihvatljivost troškova. U slučaju da prijavitelj ne dostavi informacije o prihvatljivosti troškova koje bi Agencija za strukovno obrazovanje i obrazovanje odraslih, Organizacijska jedinica za upravljanje strukturnim instrumentima smatrala zadovoljavajućima, predmetni troškovi smatrat će se neprihvatljivima.</w:t>
            </w:r>
          </w:p>
        </w:tc>
      </w:tr>
      <w:tr w:rsidR="00D6355E" w:rsidRPr="00560A99" w14:paraId="275EAFF6" w14:textId="77777777" w:rsidTr="00D6355E">
        <w:tc>
          <w:tcPr>
            <w:tcW w:w="4508" w:type="dxa"/>
          </w:tcPr>
          <w:p w14:paraId="1E408269" w14:textId="3189AF86" w:rsidR="00385BF6" w:rsidRPr="007F205B" w:rsidRDefault="00385BF6" w:rsidP="00385BF6">
            <w:pPr>
              <w:pStyle w:val="ListParagraph"/>
              <w:numPr>
                <w:ilvl w:val="0"/>
                <w:numId w:val="4"/>
              </w:numPr>
              <w:jc w:val="both"/>
              <w:rPr>
                <w:rFonts w:ascii="Arial Narrow" w:hAnsi="Arial Narrow"/>
                <w:lang w:val="hr-HR"/>
              </w:rPr>
            </w:pPr>
            <w:r w:rsidRPr="007F205B">
              <w:rPr>
                <w:rFonts w:ascii="Arial Narrow" w:hAnsi="Arial Narrow"/>
                <w:lang w:val="hr-HR"/>
              </w:rPr>
              <w:t xml:space="preserve">Vrijedi li još potreba dokazivanja porijekla </w:t>
            </w:r>
          </w:p>
          <w:p w14:paraId="565EBB2E" w14:textId="7BC22489" w:rsidR="00D6355E" w:rsidRPr="007F205B" w:rsidRDefault="00385BF6" w:rsidP="00385BF6">
            <w:pPr>
              <w:pStyle w:val="ListParagraph"/>
              <w:jc w:val="both"/>
              <w:rPr>
                <w:rFonts w:ascii="Arial Narrow" w:hAnsi="Arial Narrow"/>
                <w:lang w:val="hr-HR"/>
              </w:rPr>
            </w:pPr>
            <w:r w:rsidRPr="007F205B">
              <w:rPr>
                <w:rFonts w:ascii="Arial Narrow" w:hAnsi="Arial Narrow"/>
                <w:lang w:val="hr-HR"/>
              </w:rPr>
              <w:t>opreme?</w:t>
            </w:r>
          </w:p>
        </w:tc>
        <w:tc>
          <w:tcPr>
            <w:tcW w:w="4508" w:type="dxa"/>
          </w:tcPr>
          <w:p w14:paraId="0B3FBDBD" w14:textId="183E0B98" w:rsidR="00D6355E" w:rsidRPr="007F205B" w:rsidRDefault="00385BF6">
            <w:pPr>
              <w:rPr>
                <w:rFonts w:ascii="Arial Narrow" w:hAnsi="Arial Narrow"/>
                <w:lang w:val="hr-HR"/>
              </w:rPr>
            </w:pPr>
            <w:r w:rsidRPr="007F205B">
              <w:rPr>
                <w:rFonts w:ascii="Arial Narrow" w:hAnsi="Arial Narrow"/>
                <w:lang w:val="hr-HR"/>
              </w:rPr>
              <w:t>Ne</w:t>
            </w:r>
            <w:r w:rsidR="00FF580B">
              <w:rPr>
                <w:rFonts w:ascii="Arial Narrow" w:hAnsi="Arial Narrow"/>
                <w:lang w:val="hr-HR"/>
              </w:rPr>
              <w:t>.</w:t>
            </w:r>
          </w:p>
        </w:tc>
      </w:tr>
      <w:tr w:rsidR="00D6355E" w:rsidRPr="00E81F79" w14:paraId="35FA7184" w14:textId="77777777" w:rsidTr="00D6355E">
        <w:tc>
          <w:tcPr>
            <w:tcW w:w="4508" w:type="dxa"/>
          </w:tcPr>
          <w:p w14:paraId="769141F6" w14:textId="77777777" w:rsidR="00D6355E" w:rsidRPr="00E807A6" w:rsidRDefault="004E2DCA" w:rsidP="00385BF6">
            <w:pPr>
              <w:pStyle w:val="ListParagraph"/>
              <w:numPr>
                <w:ilvl w:val="0"/>
                <w:numId w:val="4"/>
              </w:numPr>
              <w:jc w:val="both"/>
              <w:rPr>
                <w:rFonts w:ascii="Arial Narrow" w:hAnsi="Arial Narrow"/>
                <w:color w:val="C45911" w:themeColor="accent2" w:themeShade="BF"/>
                <w:lang w:val="hr-HR"/>
              </w:rPr>
            </w:pPr>
            <w:r w:rsidRPr="004A51F3">
              <w:rPr>
                <w:rFonts w:ascii="Arial Narrow" w:hAnsi="Arial Narrow"/>
                <w:color w:val="0D0D0D" w:themeColor="text1" w:themeTint="F2"/>
                <w:lang w:val="hr-HR"/>
              </w:rPr>
              <w:t>Troškovi vode, struje i ostalo se fakultetima plaćaju iz javnih izvora, može li se to kako prikazati kao neizravan trošak?</w:t>
            </w:r>
          </w:p>
        </w:tc>
        <w:tc>
          <w:tcPr>
            <w:tcW w:w="4508" w:type="dxa"/>
          </w:tcPr>
          <w:p w14:paraId="3D9C7327" w14:textId="6FA3C0D7" w:rsidR="007F205B" w:rsidRPr="004A51F3" w:rsidRDefault="00486C33" w:rsidP="00993DFA">
            <w:pPr>
              <w:jc w:val="both"/>
              <w:rPr>
                <w:rFonts w:ascii="Arial Narrow" w:hAnsi="Arial Narrow"/>
                <w:color w:val="0D0D0D" w:themeColor="text1" w:themeTint="F2"/>
                <w:lang w:val="hr-HR"/>
              </w:rPr>
            </w:pPr>
            <w:r w:rsidRPr="00486C33">
              <w:rPr>
                <w:rFonts w:ascii="Arial Narrow" w:hAnsi="Arial Narrow"/>
                <w:color w:val="0D0D0D" w:themeColor="text1" w:themeTint="F2"/>
                <w:lang w:val="hr-HR"/>
              </w:rPr>
              <w:t>Režijski troškovi (telefon, voda, električna energija..) mogu se prikazati kao neizravni troškovi ukoliko su nastali u svrhu provedbe projekta</w:t>
            </w:r>
            <w:r>
              <w:rPr>
                <w:rFonts w:ascii="Arial Narrow" w:hAnsi="Arial Narrow"/>
                <w:color w:val="0D0D0D" w:themeColor="text1" w:themeTint="F2"/>
                <w:lang w:val="hr-HR"/>
              </w:rPr>
              <w:t>. Općenito, p</w:t>
            </w:r>
            <w:r w:rsidR="000159C7" w:rsidRPr="004A51F3">
              <w:rPr>
                <w:rFonts w:ascii="Arial Narrow" w:hAnsi="Arial Narrow"/>
                <w:color w:val="0D0D0D" w:themeColor="text1" w:themeTint="F2"/>
                <w:lang w:val="hr-HR"/>
              </w:rPr>
              <w:t xml:space="preserve">regled osnovnih vrsta troškova koji su prihvatljivi u okviru </w:t>
            </w:r>
            <w:r>
              <w:rPr>
                <w:rFonts w:ascii="Arial Narrow" w:hAnsi="Arial Narrow"/>
                <w:color w:val="0D0D0D" w:themeColor="text1" w:themeTint="F2"/>
                <w:lang w:val="hr-HR"/>
              </w:rPr>
              <w:t xml:space="preserve">ovog </w:t>
            </w:r>
            <w:r w:rsidR="000159C7" w:rsidRPr="004A51F3">
              <w:rPr>
                <w:rFonts w:ascii="Arial Narrow" w:hAnsi="Arial Narrow"/>
                <w:color w:val="0D0D0D" w:themeColor="text1" w:themeTint="F2"/>
                <w:lang w:val="hr-HR"/>
              </w:rPr>
              <w:t xml:space="preserve">poziva </w:t>
            </w:r>
            <w:r w:rsidR="006834B7" w:rsidRPr="006834B7">
              <w:rPr>
                <w:rFonts w:ascii="Arial Narrow" w:hAnsi="Arial Narrow"/>
                <w:color w:val="0D0D0D" w:themeColor="text1" w:themeTint="F2"/>
                <w:lang w:val="hr-HR"/>
              </w:rPr>
              <w:t>definiran je u Uputama za prijavitelje pod točkom  4.3.2. gdje je navedeno između ostalog da</w:t>
            </w:r>
            <w:r w:rsidR="006834B7">
              <w:rPr>
                <w:rFonts w:ascii="Arial Narrow" w:hAnsi="Arial Narrow"/>
                <w:color w:val="0D0D0D" w:themeColor="text1" w:themeTint="F2"/>
                <w:lang w:val="hr-HR"/>
              </w:rPr>
              <w:t>n</w:t>
            </w:r>
            <w:r w:rsidR="008A7B0D" w:rsidRPr="004A51F3">
              <w:rPr>
                <w:rFonts w:ascii="Arial Narrow" w:hAnsi="Arial Narrow"/>
                <w:color w:val="0D0D0D" w:themeColor="text1" w:themeTint="F2"/>
                <w:lang w:val="hr-HR"/>
              </w:rPr>
              <w:t>eizravni troškovi uključuju operativne troškove za koje je teško precizirati iznos koji pripada projektu (troškovi za administraciju/osoblje, kao što su: troškovi upravljanja, troškovi zapošljavanja, troškovi knjigovodstva ili čišćenja, troškovi telefona, vode ili električne energije, itd.). Neizravni troškovi prihvatljivi su u iznosu do maksimalno 20% izravnih prihvatljivih troškova projekta.</w:t>
            </w:r>
            <w:r w:rsidR="006834B7" w:rsidRPr="00E81F79">
              <w:rPr>
                <w:lang w:val="hr-HR"/>
              </w:rPr>
              <w:t xml:space="preserve"> </w:t>
            </w:r>
            <w:r w:rsidR="004C4CA0">
              <w:rPr>
                <w:rFonts w:ascii="Arial Narrow" w:hAnsi="Arial Narrow"/>
                <w:color w:val="0D0D0D" w:themeColor="text1" w:themeTint="F2"/>
                <w:lang w:val="hr-HR"/>
              </w:rPr>
              <w:t xml:space="preserve">Za dodatne primjere </w:t>
            </w:r>
            <w:r w:rsidR="006834B7" w:rsidRPr="006834B7">
              <w:rPr>
                <w:rFonts w:ascii="Arial Narrow" w:hAnsi="Arial Narrow"/>
                <w:color w:val="0D0D0D" w:themeColor="text1" w:themeTint="F2"/>
                <w:lang w:val="hr-HR"/>
              </w:rPr>
              <w:t xml:space="preserve">neizravnih troškova upućujemo na  točku 4.3.2. Uputa za prijavitelje. </w:t>
            </w:r>
            <w:r w:rsidR="008A7B0D" w:rsidRPr="004A51F3">
              <w:rPr>
                <w:rFonts w:ascii="Arial Narrow" w:hAnsi="Arial Narrow"/>
                <w:color w:val="0D0D0D" w:themeColor="text1" w:themeTint="F2"/>
                <w:lang w:val="hr-HR"/>
              </w:rPr>
              <w:t xml:space="preserve">   </w:t>
            </w:r>
          </w:p>
        </w:tc>
      </w:tr>
      <w:tr w:rsidR="00D6355E" w:rsidRPr="00E81F79" w14:paraId="558969FF" w14:textId="77777777" w:rsidTr="00E84FD0">
        <w:tc>
          <w:tcPr>
            <w:tcW w:w="4508" w:type="dxa"/>
            <w:shd w:val="clear" w:color="auto" w:fill="FFFFFF" w:themeFill="background1"/>
          </w:tcPr>
          <w:p w14:paraId="32ECC66F" w14:textId="77777777" w:rsidR="00D6355E" w:rsidRPr="00163931" w:rsidRDefault="004E2DCA" w:rsidP="00385BF6">
            <w:pPr>
              <w:pStyle w:val="ListParagraph"/>
              <w:numPr>
                <w:ilvl w:val="0"/>
                <w:numId w:val="4"/>
              </w:numPr>
              <w:jc w:val="both"/>
              <w:rPr>
                <w:rFonts w:ascii="Arial Narrow" w:hAnsi="Arial Narrow"/>
                <w:lang w:val="hr-HR"/>
              </w:rPr>
            </w:pPr>
            <w:r w:rsidRPr="00163931">
              <w:rPr>
                <w:rFonts w:ascii="Arial Narrow" w:hAnsi="Arial Narrow"/>
                <w:lang w:val="hr-HR"/>
              </w:rPr>
              <w:t>Točka 3.1. zadnje rečenica – sredstva koja se dodjeljuju darovnicom nisu sredstva državne potpore već za unapređenje standarda.</w:t>
            </w:r>
          </w:p>
        </w:tc>
        <w:tc>
          <w:tcPr>
            <w:tcW w:w="4508" w:type="dxa"/>
            <w:shd w:val="clear" w:color="auto" w:fill="FFFFFF" w:themeFill="background1"/>
          </w:tcPr>
          <w:p w14:paraId="40855136" w14:textId="398D25DC" w:rsidR="004B3883" w:rsidRPr="00560A99" w:rsidRDefault="004B3883" w:rsidP="00322D56">
            <w:pPr>
              <w:jc w:val="both"/>
              <w:rPr>
                <w:rFonts w:ascii="Arial Narrow" w:hAnsi="Arial Narrow"/>
                <w:lang w:val="hr-HR"/>
              </w:rPr>
            </w:pPr>
            <w:r w:rsidRPr="00163931">
              <w:rPr>
                <w:rFonts w:ascii="Arial Narrow" w:hAnsi="Arial Narrow"/>
                <w:lang w:val="hr-HR"/>
              </w:rPr>
              <w:t xml:space="preserve"> U Uputama za prijavitelje nave</w:t>
            </w:r>
            <w:r w:rsidR="00F877E3">
              <w:rPr>
                <w:rFonts w:ascii="Arial Narrow" w:hAnsi="Arial Narrow"/>
                <w:lang w:val="hr-HR"/>
              </w:rPr>
              <w:t>deno je: Sredstva za ovaj Poziv</w:t>
            </w:r>
            <w:r w:rsidRPr="00163931">
              <w:rPr>
                <w:rFonts w:ascii="Arial Narrow" w:hAnsi="Arial Narrow"/>
                <w:lang w:val="hr-HR"/>
              </w:rPr>
              <w:t xml:space="preserve"> na dostavu projektnih prijedloga koristit će se isključivo za provođenje aktivnosti čija je namjena unaprjeđenje standarda obrazovanja odnosno provedba javnog interesa te sukladno tome ne </w:t>
            </w:r>
            <w:r w:rsidRPr="00163931">
              <w:rPr>
                <w:rFonts w:ascii="Arial Narrow" w:hAnsi="Arial Narrow"/>
                <w:lang w:val="hr-HR"/>
              </w:rPr>
              <w:lastRenderedPageBreak/>
              <w:t>predstavljaju državne potpore niti potpore male vrijednosti za korisnike. Prijavitelji ne smiju dodijeljena sredstva koristiti za ulaganje ili širenje s</w:t>
            </w:r>
            <w:r w:rsidR="00F877E3">
              <w:rPr>
                <w:rFonts w:ascii="Arial Narrow" w:hAnsi="Arial Narrow"/>
                <w:lang w:val="hr-HR"/>
              </w:rPr>
              <w:t xml:space="preserve">adržaja komercijalnog karaktera (vidjeti i odgovor pod brojem 30.) </w:t>
            </w:r>
          </w:p>
        </w:tc>
      </w:tr>
      <w:tr w:rsidR="002B09AE" w:rsidRPr="00560A99" w14:paraId="0212CAE7" w14:textId="77777777" w:rsidTr="00E81F79">
        <w:tc>
          <w:tcPr>
            <w:tcW w:w="9016" w:type="dxa"/>
            <w:gridSpan w:val="2"/>
          </w:tcPr>
          <w:p w14:paraId="13B42C43" w14:textId="212CBADF" w:rsidR="002B09AE" w:rsidRPr="00817E84" w:rsidRDefault="002B09AE" w:rsidP="00B535E1">
            <w:pPr>
              <w:jc w:val="center"/>
              <w:rPr>
                <w:rFonts w:ascii="Arial Narrow" w:hAnsi="Arial Narrow"/>
                <w:b/>
                <w:lang w:val="hr-HR"/>
              </w:rPr>
            </w:pPr>
            <w:r w:rsidRPr="00817E84">
              <w:rPr>
                <w:rFonts w:ascii="Arial Narrow" w:hAnsi="Arial Narrow"/>
                <w:b/>
                <w:lang w:val="hr-HR"/>
              </w:rPr>
              <w:lastRenderedPageBreak/>
              <w:t xml:space="preserve">Honorari/Plaće za znanstveno-nastavno </w:t>
            </w:r>
            <w:r w:rsidR="00BE48C8">
              <w:rPr>
                <w:rFonts w:ascii="Arial Narrow" w:hAnsi="Arial Narrow"/>
                <w:b/>
                <w:lang w:val="hr-HR"/>
              </w:rPr>
              <w:t xml:space="preserve">i administrativno </w:t>
            </w:r>
            <w:r w:rsidRPr="00817E84">
              <w:rPr>
                <w:rFonts w:ascii="Arial Narrow" w:hAnsi="Arial Narrow"/>
                <w:b/>
                <w:lang w:val="hr-HR"/>
              </w:rPr>
              <w:t>osoblje?</w:t>
            </w:r>
          </w:p>
        </w:tc>
      </w:tr>
      <w:tr w:rsidR="00D6355E" w:rsidRPr="00E81F79" w14:paraId="3F354F32" w14:textId="77777777" w:rsidTr="00D6355E">
        <w:tc>
          <w:tcPr>
            <w:tcW w:w="4508" w:type="dxa"/>
          </w:tcPr>
          <w:p w14:paraId="7FB361C0" w14:textId="2BB31259" w:rsidR="00D6355E" w:rsidRPr="00E807A6" w:rsidRDefault="004F24BA" w:rsidP="00BE48C8">
            <w:pPr>
              <w:pStyle w:val="ListParagraph"/>
              <w:numPr>
                <w:ilvl w:val="0"/>
                <w:numId w:val="4"/>
              </w:numPr>
              <w:jc w:val="both"/>
              <w:rPr>
                <w:rFonts w:ascii="Arial Narrow" w:hAnsi="Arial Narrow"/>
                <w:color w:val="C45911" w:themeColor="accent2" w:themeShade="BF"/>
                <w:lang w:val="hr-HR"/>
              </w:rPr>
            </w:pPr>
            <w:r w:rsidRPr="00163931">
              <w:rPr>
                <w:rFonts w:ascii="Arial Narrow" w:hAnsi="Arial Narrow"/>
                <w:color w:val="0D0D0D" w:themeColor="text1" w:themeTint="F2"/>
                <w:lang w:val="hr-HR"/>
              </w:rPr>
              <w:t>K</w:t>
            </w:r>
            <w:r w:rsidR="002B09AE" w:rsidRPr="00163931">
              <w:rPr>
                <w:rFonts w:ascii="Arial Narrow" w:hAnsi="Arial Narrow"/>
                <w:color w:val="0D0D0D" w:themeColor="text1" w:themeTint="F2"/>
                <w:lang w:val="hr-HR"/>
              </w:rPr>
              <w:t xml:space="preserve">ako se financiraju </w:t>
            </w:r>
            <w:r w:rsidR="00BE48C8">
              <w:rPr>
                <w:rFonts w:ascii="Arial Narrow" w:hAnsi="Arial Narrow"/>
                <w:color w:val="0D0D0D" w:themeColor="text1" w:themeTint="F2"/>
                <w:lang w:val="hr-HR"/>
              </w:rPr>
              <w:t>naknade za rad</w:t>
            </w:r>
            <w:r w:rsidR="00BE48C8" w:rsidRPr="00163931">
              <w:rPr>
                <w:rFonts w:ascii="Arial Narrow" w:hAnsi="Arial Narrow"/>
                <w:color w:val="0D0D0D" w:themeColor="text1" w:themeTint="F2"/>
                <w:lang w:val="hr-HR"/>
              </w:rPr>
              <w:t xml:space="preserve"> </w:t>
            </w:r>
            <w:r w:rsidR="002B09AE" w:rsidRPr="00163931">
              <w:rPr>
                <w:rFonts w:ascii="Arial Narrow" w:hAnsi="Arial Narrow"/>
                <w:color w:val="0D0D0D" w:themeColor="text1" w:themeTint="F2"/>
                <w:lang w:val="hr-HR"/>
              </w:rPr>
              <w:t>djelatnika koj</w:t>
            </w:r>
            <w:r w:rsidR="00BE48C8">
              <w:rPr>
                <w:rFonts w:ascii="Arial Narrow" w:hAnsi="Arial Narrow"/>
                <w:color w:val="0D0D0D" w:themeColor="text1" w:themeTint="F2"/>
                <w:lang w:val="hr-HR"/>
              </w:rPr>
              <w:t>i</w:t>
            </w:r>
            <w:r w:rsidR="002B09AE" w:rsidRPr="00163931">
              <w:rPr>
                <w:rFonts w:ascii="Arial Narrow" w:hAnsi="Arial Narrow"/>
                <w:color w:val="0D0D0D" w:themeColor="text1" w:themeTint="F2"/>
                <w:lang w:val="hr-HR"/>
              </w:rPr>
              <w:t xml:space="preserve"> direktno sudjeluju u aktivnostima projekta ili indirektno (administrativno osoblje)?</w:t>
            </w:r>
          </w:p>
        </w:tc>
        <w:tc>
          <w:tcPr>
            <w:tcW w:w="4508" w:type="dxa"/>
          </w:tcPr>
          <w:p w14:paraId="010ECD9D" w14:textId="4B0744C7" w:rsidR="0006333C" w:rsidRPr="00023790" w:rsidRDefault="00682839" w:rsidP="0006333C">
            <w:pPr>
              <w:jc w:val="both"/>
              <w:rPr>
                <w:rFonts w:ascii="Arial Narrow" w:hAnsi="Arial Narrow"/>
                <w:color w:val="0D0D0D" w:themeColor="text1" w:themeTint="F2"/>
                <w:lang w:val="hr-HR"/>
              </w:rPr>
            </w:pPr>
            <w:r w:rsidRPr="004A51F3">
              <w:rPr>
                <w:rFonts w:ascii="Arial Narrow" w:hAnsi="Arial Narrow"/>
                <w:color w:val="0D0D0D" w:themeColor="text1" w:themeTint="F2"/>
                <w:lang w:val="hr-HR"/>
              </w:rPr>
              <w:t>Sukladno Uputama za prijavitelje, poglavlje 4.3.2: Troškovi rada osoba angažiranih na provedbi aktivnosti projekta</w:t>
            </w:r>
            <w:r>
              <w:rPr>
                <w:rFonts w:ascii="Arial Narrow" w:hAnsi="Arial Narrow"/>
                <w:color w:val="0D0D0D" w:themeColor="text1" w:themeTint="F2"/>
                <w:lang w:val="hr-HR"/>
              </w:rPr>
              <w:t xml:space="preserve"> su prihvatljivi troškovi u okviru ovog natječaja</w:t>
            </w:r>
            <w:r w:rsidR="006834B7">
              <w:rPr>
                <w:rFonts w:ascii="Arial Narrow" w:hAnsi="Arial Narrow"/>
                <w:color w:val="0D0D0D" w:themeColor="text1" w:themeTint="F2"/>
                <w:lang w:val="hr-HR"/>
              </w:rPr>
              <w:t>, što znači da će t</w:t>
            </w:r>
            <w:r w:rsidR="006834B7" w:rsidRPr="006834B7">
              <w:rPr>
                <w:rFonts w:ascii="Arial Narrow" w:hAnsi="Arial Narrow"/>
                <w:color w:val="0D0D0D" w:themeColor="text1" w:themeTint="F2"/>
                <w:lang w:val="hr-HR"/>
              </w:rPr>
              <w:t>r</w:t>
            </w:r>
            <w:r w:rsidR="00DD4D94">
              <w:rPr>
                <w:rFonts w:ascii="Arial Narrow" w:hAnsi="Arial Narrow"/>
                <w:color w:val="0D0D0D" w:themeColor="text1" w:themeTint="F2"/>
                <w:lang w:val="hr-HR"/>
              </w:rPr>
              <w:t xml:space="preserve">ošak rada svih djelatnika institucije </w:t>
            </w:r>
            <w:r w:rsidR="006834B7" w:rsidRPr="006834B7">
              <w:rPr>
                <w:rFonts w:ascii="Arial Narrow" w:hAnsi="Arial Narrow"/>
                <w:color w:val="0D0D0D" w:themeColor="text1" w:themeTint="F2"/>
                <w:lang w:val="hr-HR"/>
              </w:rPr>
              <w:t>uključenih u provedbu projekta na izravan ili neizr</w:t>
            </w:r>
            <w:r w:rsidR="00DD4D94">
              <w:rPr>
                <w:rFonts w:ascii="Arial Narrow" w:hAnsi="Arial Narrow"/>
                <w:color w:val="0D0D0D" w:themeColor="text1" w:themeTint="F2"/>
                <w:lang w:val="hr-HR"/>
              </w:rPr>
              <w:t xml:space="preserve">avan način </w:t>
            </w:r>
            <w:r w:rsidR="00DD4D94" w:rsidRPr="00DB1D26">
              <w:rPr>
                <w:rFonts w:ascii="Arial Narrow" w:hAnsi="Arial Narrow"/>
                <w:b/>
                <w:color w:val="0D0D0D" w:themeColor="text1" w:themeTint="F2"/>
                <w:lang w:val="hr-HR"/>
              </w:rPr>
              <w:t>biti refundiran</w:t>
            </w:r>
            <w:r w:rsidR="00DD4D94">
              <w:rPr>
                <w:rFonts w:ascii="Arial Narrow" w:hAnsi="Arial Narrow"/>
                <w:color w:val="0D0D0D" w:themeColor="text1" w:themeTint="F2"/>
                <w:lang w:val="hr-HR"/>
              </w:rPr>
              <w:t xml:space="preserve"> </w:t>
            </w:r>
            <w:r w:rsidR="006834B7" w:rsidRPr="006834B7">
              <w:rPr>
                <w:rFonts w:ascii="Arial Narrow" w:hAnsi="Arial Narrow"/>
                <w:color w:val="0D0D0D" w:themeColor="text1" w:themeTint="F2"/>
                <w:lang w:val="hr-HR"/>
              </w:rPr>
              <w:t xml:space="preserve">instituciji u postotku njihova doprinosa na projektu jednako kao i svaki drugi prihvatljiv trošak koji je nužan i opravdan za provedbu projekta.  Ako je riječ o izravnom trošku, troškovi plaća i troškovi vezani uz rad, prema Uputama za prijavitelje, točka 4.3.2., podrazumijevaju plaće sa svim pripadajućim porezima i davanjima na plaću i iz plaće: troškove vezane uz rad (prehrana, prijevoz); naknade plaće za koje poslodavac ne može dobiti povrat iz drugih izvora (npr.  bolovanje do 42 dana );  te druge osobne primitke u skladu s važećim radnim zakonodavstvom (npr.  regres,  božićnica). </w:t>
            </w:r>
            <w:r w:rsidR="0006333C" w:rsidRPr="00023790">
              <w:rPr>
                <w:rFonts w:ascii="Arial Narrow" w:hAnsi="Arial Narrow"/>
                <w:color w:val="0D0D0D" w:themeColor="text1" w:themeTint="F2"/>
                <w:lang w:val="hr-HR"/>
              </w:rPr>
              <w:t xml:space="preserve">Također, i troškovi prekovremenog rada mogu biti prihvatljiv trošak ukoliko su opravdani, nužni i vezani za provedbu projektnih aktivnosti, a nastali su prvenstveno prema procjeni i odluci čelnika ustanove, te su u skladu s nacionalnim propisima i propisima ustanove. </w:t>
            </w:r>
          </w:p>
          <w:p w14:paraId="1FBA0A99" w14:textId="0F2AA9E9" w:rsidR="00D6355E" w:rsidRPr="00DD4D94" w:rsidRDefault="006834B7" w:rsidP="009E2192">
            <w:pPr>
              <w:jc w:val="both"/>
              <w:rPr>
                <w:rFonts w:ascii="Arial Narrow" w:hAnsi="Arial Narrow"/>
                <w:i/>
                <w:color w:val="0D0D0D" w:themeColor="text1" w:themeTint="F2"/>
                <w:lang w:val="hr-HR"/>
              </w:rPr>
            </w:pPr>
            <w:r w:rsidRPr="006834B7">
              <w:rPr>
                <w:rFonts w:ascii="Arial Narrow" w:hAnsi="Arial Narrow"/>
                <w:color w:val="0D0D0D" w:themeColor="text1" w:themeTint="F2"/>
                <w:lang w:val="hr-HR"/>
              </w:rPr>
              <w:t>Primjeri neizravnih troškova, prema Uputama za prijavitelje, točka 4.3.2. (str. 20), obuhvaćaju troškove upravljanja projektom (administrativno osoblje)- plaće sa svim pripadajućim porezima i davanjima na plaću i iz plaće; troškove vezane uz rad (prehrana, prijevoz); naknade plaće za koje poslodavac ne može dobiti povrat iz drugih izvora (npr. bolovanje do 42 dana); druge osobne primitke  u skladu s važećim radnim zakonodavstvom (npr. regres).</w:t>
            </w:r>
          </w:p>
        </w:tc>
      </w:tr>
      <w:tr w:rsidR="00780A9B" w:rsidRPr="00E81F79" w14:paraId="4FBBADEF" w14:textId="77777777" w:rsidTr="00D6355E">
        <w:tc>
          <w:tcPr>
            <w:tcW w:w="4508" w:type="dxa"/>
          </w:tcPr>
          <w:p w14:paraId="2BF64098" w14:textId="114CB783" w:rsidR="00120516" w:rsidRPr="00163931" w:rsidRDefault="002B09AE" w:rsidP="007F205B">
            <w:pPr>
              <w:pStyle w:val="ListParagraph"/>
              <w:numPr>
                <w:ilvl w:val="0"/>
                <w:numId w:val="4"/>
              </w:numPr>
              <w:jc w:val="both"/>
              <w:rPr>
                <w:rFonts w:ascii="Arial Narrow" w:hAnsi="Arial Narrow"/>
                <w:color w:val="000000" w:themeColor="text1"/>
                <w:lang w:val="hr-HR"/>
              </w:rPr>
            </w:pPr>
            <w:r w:rsidRPr="00163931">
              <w:rPr>
                <w:rFonts w:ascii="Arial Narrow" w:hAnsi="Arial Narrow"/>
                <w:color w:val="000000" w:themeColor="text1"/>
                <w:lang w:val="hr-HR"/>
              </w:rPr>
              <w:t>Što sve spada u sufinanciranje od 5%: samo plaće zaposlenika ili i nešto drugo (oprema)?</w:t>
            </w:r>
          </w:p>
        </w:tc>
        <w:tc>
          <w:tcPr>
            <w:tcW w:w="4508" w:type="dxa"/>
          </w:tcPr>
          <w:p w14:paraId="2118CEA1" w14:textId="0C9C7C59" w:rsidR="00120516" w:rsidRPr="00D20426" w:rsidRDefault="00DD4D94" w:rsidP="00EA4E4F">
            <w:pPr>
              <w:jc w:val="both"/>
              <w:rPr>
                <w:rFonts w:ascii="Arial Narrow" w:hAnsi="Arial Narrow"/>
                <w:color w:val="000000" w:themeColor="text1"/>
                <w:highlight w:val="yellow"/>
                <w:lang w:val="hr-HR"/>
              </w:rPr>
            </w:pPr>
            <w:r>
              <w:rPr>
                <w:rFonts w:ascii="Arial Narrow" w:hAnsi="Arial Narrow"/>
                <w:color w:val="000000" w:themeColor="text1"/>
                <w:lang w:val="hr-HR"/>
              </w:rPr>
              <w:t xml:space="preserve">Prema Uputama za prijavitelje točka </w:t>
            </w:r>
            <w:r w:rsidR="006834B7" w:rsidRPr="006834B7">
              <w:rPr>
                <w:rFonts w:ascii="Arial Narrow" w:hAnsi="Arial Narrow"/>
                <w:color w:val="000000" w:themeColor="text1"/>
                <w:lang w:val="hr-HR"/>
              </w:rPr>
              <w:t xml:space="preserve"> 3.1., projekti se mogu sufinancirati u maksimalnom iznosu do 95% prihvatljivih troškova. Razlika od 5% između ukupno prihvatljivih troškova projekta i iznosa traženih bespovratnih sredstava mora se osigurati iz vlastitih sredstava prijavitelja i/ili partnera i/ili iz sredstava koja nisu dio proračuna Europske unije.</w:t>
            </w:r>
          </w:p>
        </w:tc>
      </w:tr>
      <w:tr w:rsidR="00780A9B" w:rsidRPr="00E81F79" w14:paraId="1587405E" w14:textId="77777777" w:rsidTr="00D6355E">
        <w:tc>
          <w:tcPr>
            <w:tcW w:w="4508" w:type="dxa"/>
          </w:tcPr>
          <w:p w14:paraId="5B022052" w14:textId="1E25629B" w:rsidR="00120516" w:rsidRPr="00163931" w:rsidRDefault="002B09AE" w:rsidP="00780A9B">
            <w:pPr>
              <w:pStyle w:val="ListParagraph"/>
              <w:numPr>
                <w:ilvl w:val="0"/>
                <w:numId w:val="4"/>
              </w:numPr>
              <w:jc w:val="both"/>
              <w:rPr>
                <w:rFonts w:ascii="Arial Narrow" w:hAnsi="Arial Narrow"/>
                <w:color w:val="000000" w:themeColor="text1"/>
                <w:lang w:val="hr-HR"/>
              </w:rPr>
            </w:pPr>
            <w:r w:rsidRPr="00163931">
              <w:rPr>
                <w:rFonts w:ascii="Arial Narrow" w:hAnsi="Arial Narrow"/>
                <w:color w:val="000000" w:themeColor="text1"/>
                <w:lang w:val="hr-HR"/>
              </w:rPr>
              <w:t>Točka 3.1, str. 11 Uputa za prijavitelje, pojašnjenje navoda:</w:t>
            </w:r>
            <w:r w:rsidR="00780A9B" w:rsidRPr="00163931">
              <w:rPr>
                <w:rFonts w:ascii="Arial Narrow" w:hAnsi="Arial Narrow"/>
                <w:color w:val="000000" w:themeColor="text1"/>
                <w:lang w:val="hr-HR"/>
              </w:rPr>
              <w:t xml:space="preserve"> „s</w:t>
            </w:r>
            <w:r w:rsidRPr="00163931">
              <w:rPr>
                <w:rFonts w:ascii="Arial Narrow" w:hAnsi="Arial Narrow"/>
                <w:color w:val="000000" w:themeColor="text1"/>
                <w:lang w:val="hr-HR"/>
              </w:rPr>
              <w:t xml:space="preserve">redstva za ovaj Poziv na dostavu projektnih prijedloga koristit će se isključivo za provođenje aktivnosti čija je namjena unaprjeđenje standarda obrazovanja odnosno provedba javnog interesa te sukladno tome ne predstavljaju državne potpore niti </w:t>
            </w:r>
            <w:r w:rsidRPr="00163931">
              <w:rPr>
                <w:rFonts w:ascii="Arial Narrow" w:hAnsi="Arial Narrow"/>
                <w:color w:val="000000" w:themeColor="text1"/>
                <w:lang w:val="hr-HR"/>
              </w:rPr>
              <w:lastRenderedPageBreak/>
              <w:t>potpore male vrijednosti za korisnike. Prijavitelji ne smiju dodijeljena sredstva koristiti za ulaganje ili širenje sadržaja komercijalnog karaktera.“</w:t>
            </w:r>
            <w:r w:rsidR="00780A9B" w:rsidRPr="00163931">
              <w:rPr>
                <w:rFonts w:ascii="Arial Narrow" w:hAnsi="Arial Narrow"/>
                <w:color w:val="000000" w:themeColor="text1"/>
                <w:lang w:val="hr-HR"/>
              </w:rPr>
              <w:t xml:space="preserve"> K</w:t>
            </w:r>
            <w:r w:rsidRPr="00163931">
              <w:rPr>
                <w:rFonts w:ascii="Arial Narrow" w:hAnsi="Arial Narrow"/>
                <w:color w:val="000000" w:themeColor="text1"/>
                <w:lang w:val="hr-HR"/>
              </w:rPr>
              <w:t xml:space="preserve">ako ako projektni prijedlozi obuhvaćaju razvoj i unapređenje sadržaja koji će biti </w:t>
            </w:r>
            <w:r w:rsidR="00780A9B" w:rsidRPr="00163931">
              <w:rPr>
                <w:rFonts w:ascii="Arial Narrow" w:hAnsi="Arial Narrow"/>
                <w:color w:val="000000" w:themeColor="text1"/>
                <w:lang w:val="hr-HR"/>
              </w:rPr>
              <w:t xml:space="preserve">ponuđeni na tržištu </w:t>
            </w:r>
            <w:r w:rsidRPr="00163931">
              <w:rPr>
                <w:rFonts w:ascii="Arial Narrow" w:hAnsi="Arial Narrow"/>
                <w:color w:val="000000" w:themeColor="text1"/>
                <w:lang w:val="hr-HR"/>
              </w:rPr>
              <w:t xml:space="preserve"> u kojima će sudjelovati studenti koji plaćaju školarinu?)</w:t>
            </w:r>
          </w:p>
        </w:tc>
        <w:tc>
          <w:tcPr>
            <w:tcW w:w="4508" w:type="dxa"/>
          </w:tcPr>
          <w:p w14:paraId="7B9EC8B8" w14:textId="17F03A9B" w:rsidR="00E84FD0" w:rsidRPr="004966AA" w:rsidRDefault="00201573" w:rsidP="00EA4E4F">
            <w:pPr>
              <w:jc w:val="both"/>
              <w:rPr>
                <w:rFonts w:ascii="Arial Narrow" w:hAnsi="Arial Narrow"/>
                <w:lang w:val="hr-HR"/>
              </w:rPr>
            </w:pPr>
            <w:r>
              <w:rPr>
                <w:rFonts w:ascii="Arial Narrow" w:hAnsi="Arial Narrow"/>
                <w:lang w:val="hr-HR"/>
              </w:rPr>
              <w:lastRenderedPageBreak/>
              <w:t xml:space="preserve">U Uputama za prijavitelje navedeno je: </w:t>
            </w:r>
            <w:r w:rsidRPr="004B3883">
              <w:rPr>
                <w:rFonts w:ascii="Arial Narrow" w:hAnsi="Arial Narrow"/>
                <w:lang w:val="hr-HR"/>
              </w:rPr>
              <w:t xml:space="preserve">Sredstva za ovaj Poziva na dostavu projektnih prijedloga koristit će se isključivo za provođenje aktivnosti čija je namjena unaprjeđenje standarda obrazovanja odnosno provedba javnog interesa te sukladno tome ne predstavljaju državne potpore niti potpore male vrijednosti za korisnike. Prijavitelji ne smiju dodijeljena sredstva koristiti za ulaganje ili širenje </w:t>
            </w:r>
            <w:r w:rsidRPr="004B3883">
              <w:rPr>
                <w:rFonts w:ascii="Arial Narrow" w:hAnsi="Arial Narrow"/>
                <w:lang w:val="hr-HR"/>
              </w:rPr>
              <w:lastRenderedPageBreak/>
              <w:t>sadržaja komercijalnog karaktera.</w:t>
            </w:r>
            <w:r w:rsidR="00675610">
              <w:rPr>
                <w:rFonts w:ascii="Arial Narrow" w:hAnsi="Arial Narrow"/>
                <w:lang w:val="hr-HR"/>
              </w:rPr>
              <w:t xml:space="preserve"> Drugim riječima, sredstva koja će prijavitelji koristiti za razvoj i provođenje studijskih programa, nabavu namještaja i opreme potrebne za provedbu studijskih programa, izvođenje nastave i prakse, primjenu novih tehnologija u podučavanju itd. odnosno sredstva koja će se usmjeriti unapređenju materijalnih i obrazovnih uvjeta obrazovanja </w:t>
            </w:r>
            <w:r w:rsidR="004966AA">
              <w:rPr>
                <w:rFonts w:ascii="Arial Narrow" w:hAnsi="Arial Narrow"/>
                <w:lang w:val="hr-HR"/>
              </w:rPr>
              <w:t xml:space="preserve">neće predstavljati potporu korisnicima tih sredstava jer će se navedena sredstva koristiti u provedbi javnog interesa. Navedeno se jednako odnosi na državna učilišta i škole kao i učilišta i škole u privatnom vlasništvu. Međutim, sredstva se moraju koristiti isključivo za tu namjenu, odnosno podizanje standarda obrazovanja, a ukoliko prijavitelji eventualno ostvare ekonomsku korist ona bi također morala biti uložena u podizanje standarda obrazovanja, a nikako u ostale komercijalne djelatnosti. </w:t>
            </w:r>
          </w:p>
        </w:tc>
      </w:tr>
      <w:tr w:rsidR="00780A9B" w:rsidRPr="00E81F79" w14:paraId="5B6D7A40" w14:textId="77777777" w:rsidTr="00D6355E">
        <w:tc>
          <w:tcPr>
            <w:tcW w:w="4508" w:type="dxa"/>
          </w:tcPr>
          <w:p w14:paraId="0131BEB8" w14:textId="7CBD6216" w:rsidR="00120516" w:rsidRPr="00780A9B" w:rsidRDefault="00780A9B" w:rsidP="00780A9B">
            <w:pPr>
              <w:pStyle w:val="ListParagraph"/>
              <w:numPr>
                <w:ilvl w:val="0"/>
                <w:numId w:val="4"/>
              </w:numPr>
              <w:jc w:val="both"/>
              <w:rPr>
                <w:rFonts w:ascii="Arial Narrow" w:hAnsi="Arial Narrow"/>
                <w:color w:val="000000" w:themeColor="text1"/>
                <w:lang w:val="hr-HR"/>
              </w:rPr>
            </w:pPr>
            <w:r w:rsidRPr="00163931">
              <w:rPr>
                <w:rFonts w:ascii="Arial Narrow" w:hAnsi="Arial Narrow"/>
                <w:color w:val="000000" w:themeColor="text1"/>
                <w:lang w:val="hr-HR"/>
              </w:rPr>
              <w:lastRenderedPageBreak/>
              <w:t xml:space="preserve">U provedbi projekta IPA programa koristila se opcija „per diem“  </w:t>
            </w:r>
            <w:r w:rsidR="002B09AE" w:rsidRPr="00163931">
              <w:rPr>
                <w:rFonts w:ascii="Arial Narrow" w:hAnsi="Arial Narrow"/>
                <w:color w:val="000000" w:themeColor="text1"/>
                <w:lang w:val="hr-HR"/>
              </w:rPr>
              <w:t xml:space="preserve">za studijska putovanja u Hrvatskoj </w:t>
            </w:r>
            <w:r w:rsidRPr="00163931">
              <w:rPr>
                <w:rFonts w:ascii="Arial Narrow" w:hAnsi="Arial Narrow"/>
                <w:color w:val="000000" w:themeColor="text1"/>
                <w:lang w:val="hr-HR"/>
              </w:rPr>
              <w:t xml:space="preserve">i </w:t>
            </w:r>
            <w:r w:rsidR="006C5B14" w:rsidRPr="00163931">
              <w:rPr>
                <w:rFonts w:ascii="Arial Narrow" w:hAnsi="Arial Narrow"/>
                <w:color w:val="000000" w:themeColor="text1"/>
                <w:lang w:val="hr-HR"/>
              </w:rPr>
              <w:t>u vrijednosti od 150€</w:t>
            </w:r>
            <w:r w:rsidR="002B09AE" w:rsidRPr="00163931">
              <w:rPr>
                <w:rFonts w:ascii="Arial Narrow" w:hAnsi="Arial Narrow"/>
                <w:color w:val="000000" w:themeColor="text1"/>
                <w:lang w:val="hr-HR"/>
              </w:rPr>
              <w:t xml:space="preserve"> Ima li toga i u ovoj shemi?</w:t>
            </w:r>
          </w:p>
        </w:tc>
        <w:tc>
          <w:tcPr>
            <w:tcW w:w="4508" w:type="dxa"/>
          </w:tcPr>
          <w:p w14:paraId="6C6E3829" w14:textId="16BE82FB" w:rsidR="0064274B" w:rsidRPr="00780A9B" w:rsidRDefault="0064274B" w:rsidP="0064274B">
            <w:pPr>
              <w:jc w:val="both"/>
              <w:rPr>
                <w:rFonts w:ascii="Arial Narrow" w:hAnsi="Arial Narrow"/>
                <w:color w:val="000000" w:themeColor="text1"/>
                <w:lang w:val="hr-HR"/>
              </w:rPr>
            </w:pPr>
            <w:r w:rsidRPr="0064274B">
              <w:rPr>
                <w:rFonts w:ascii="Arial Narrow" w:hAnsi="Arial Narrow"/>
                <w:color w:val="000000" w:themeColor="text1"/>
                <w:lang w:val="hr-HR"/>
              </w:rPr>
              <w:t>Skrećemo pažnju da se per diem kao kategorija u okviru ovog Poziva financiranog iz Europskog socijalnog fonda ne navodi u Uputama za prijavitelje, kao što je to bilo u projektima financiranim kroz Instrument pretpristupne pomoći (IPA projekti).  Prema Uputama za prijavitelje, točka 4.3.2. troškovi putovanja u zemlji i inozemstvu za osobe angažirane na projektu podrazumijevaju  dnevnice,  trošak smještaja i troškove putovanja. Troškovi putovanja u zemlji i inozemstvu za ciljne skupine koje sudjeluju u projektnim aktivnostima uz dnevnice, troškove smještaja i putovanja navode i kotizacije.</w:t>
            </w:r>
          </w:p>
        </w:tc>
      </w:tr>
      <w:tr w:rsidR="00797424" w:rsidRPr="00817E84" w14:paraId="22E957EE" w14:textId="77777777" w:rsidTr="00E81F79">
        <w:tc>
          <w:tcPr>
            <w:tcW w:w="9016" w:type="dxa"/>
            <w:gridSpan w:val="2"/>
          </w:tcPr>
          <w:p w14:paraId="2500988E" w14:textId="7A468EEB" w:rsidR="00797424" w:rsidRPr="00797424" w:rsidRDefault="00BC0833" w:rsidP="00797424">
            <w:pPr>
              <w:jc w:val="center"/>
              <w:rPr>
                <w:rFonts w:ascii="Arial Narrow" w:hAnsi="Arial Narrow"/>
                <w:b/>
                <w:color w:val="FFC000" w:themeColor="accent4"/>
                <w:lang w:val="hr-HR"/>
              </w:rPr>
            </w:pPr>
            <w:r>
              <w:rPr>
                <w:rFonts w:ascii="Arial Narrow" w:hAnsi="Arial Narrow"/>
                <w:b/>
                <w:lang w:val="hr-HR"/>
              </w:rPr>
              <w:t>Prijavitelji / Partneri</w:t>
            </w:r>
          </w:p>
        </w:tc>
      </w:tr>
      <w:tr w:rsidR="00BC0833" w:rsidRPr="00817E84" w14:paraId="312E2527" w14:textId="77777777" w:rsidTr="00D6355E">
        <w:tc>
          <w:tcPr>
            <w:tcW w:w="4508" w:type="dxa"/>
          </w:tcPr>
          <w:p w14:paraId="0C0D0251" w14:textId="0ABB27D4" w:rsidR="00BC0833" w:rsidRPr="00682839" w:rsidRDefault="00BC0833" w:rsidP="00682839">
            <w:pPr>
              <w:pStyle w:val="ListParagraph"/>
              <w:numPr>
                <w:ilvl w:val="0"/>
                <w:numId w:val="4"/>
              </w:numPr>
              <w:jc w:val="both"/>
              <w:rPr>
                <w:rFonts w:ascii="Arial Narrow" w:hAnsi="Arial Narrow"/>
                <w:lang w:val="hr-HR"/>
              </w:rPr>
            </w:pPr>
            <w:r w:rsidRPr="00BC0833">
              <w:rPr>
                <w:rFonts w:ascii="Arial Narrow" w:hAnsi="Arial Narrow"/>
                <w:lang w:val="hr-HR"/>
              </w:rPr>
              <w:t>U točki 4.1.3. Uputa za prijavitelje kao prihvatljivi partneri navedeni su "poslodavci i udruženja poslodavaca", bez preciziranja njihova pravnog oblika.</w:t>
            </w:r>
            <w:r w:rsidR="00682839">
              <w:rPr>
                <w:rFonts w:ascii="Arial Narrow" w:hAnsi="Arial Narrow"/>
                <w:lang w:val="hr-HR"/>
              </w:rPr>
              <w:t xml:space="preserve"> </w:t>
            </w:r>
            <w:r w:rsidRPr="00682839">
              <w:rPr>
                <w:rFonts w:ascii="Arial Narrow" w:hAnsi="Arial Narrow"/>
                <w:lang w:val="hr-HR"/>
              </w:rPr>
              <w:t>Naš partner na projektu bilo bi nekoliko poslodavaca u obliku trgovačkih društva, d.o.o. ili jtd, koji u svemu drugome udovoljavaju uvjetima natječaja</w:t>
            </w:r>
            <w:r w:rsidRPr="00163931">
              <w:rPr>
                <w:rFonts w:ascii="Arial Narrow" w:hAnsi="Arial Narrow"/>
                <w:lang w:val="hr-HR"/>
              </w:rPr>
              <w:t>. Može li partner biti trgovačko društvo bez 1 zaposlenog?</w:t>
            </w:r>
            <w:r w:rsidR="00682839" w:rsidRPr="00163931">
              <w:rPr>
                <w:rFonts w:ascii="Arial Narrow" w:hAnsi="Arial Narrow"/>
                <w:lang w:val="hr-HR"/>
              </w:rPr>
              <w:t xml:space="preserve"> </w:t>
            </w:r>
            <w:r w:rsidRPr="00163931">
              <w:rPr>
                <w:rFonts w:ascii="Arial Narrow" w:hAnsi="Arial Narrow"/>
                <w:lang w:val="hr-HR"/>
              </w:rPr>
              <w:t>Molimo za pojašnjenje da li je</w:t>
            </w:r>
            <w:r w:rsidRPr="00682839">
              <w:rPr>
                <w:rFonts w:ascii="Arial Narrow" w:hAnsi="Arial Narrow"/>
                <w:lang w:val="hr-HR"/>
              </w:rPr>
              <w:t xml:space="preserve"> navedeno u skladu s uvjetima natječaja.</w:t>
            </w:r>
          </w:p>
        </w:tc>
        <w:tc>
          <w:tcPr>
            <w:tcW w:w="4508" w:type="dxa"/>
          </w:tcPr>
          <w:p w14:paraId="48F39E65" w14:textId="5621BD27" w:rsidR="00BC0833" w:rsidRDefault="0073097B" w:rsidP="00DB1D26">
            <w:pPr>
              <w:jc w:val="both"/>
              <w:rPr>
                <w:rFonts w:ascii="Arial Narrow" w:hAnsi="Arial Narrow"/>
                <w:lang w:val="hr-HR"/>
              </w:rPr>
            </w:pPr>
            <w:r w:rsidRPr="0073097B">
              <w:rPr>
                <w:rFonts w:ascii="Arial Narrow" w:hAnsi="Arial Narrow"/>
                <w:lang w:val="hr-HR"/>
              </w:rPr>
              <w:t>Izmjena Poziva</w:t>
            </w:r>
            <w:r w:rsidR="003F44CC">
              <w:rPr>
                <w:rFonts w:ascii="Arial Narrow" w:hAnsi="Arial Narrow"/>
                <w:lang w:val="hr-HR"/>
              </w:rPr>
              <w:t xml:space="preserve"> od 8. kolovoza 2014. </w:t>
            </w:r>
            <w:r w:rsidRPr="0073097B">
              <w:rPr>
                <w:rFonts w:ascii="Arial Narrow" w:hAnsi="Arial Narrow"/>
                <w:lang w:val="hr-HR"/>
              </w:rPr>
              <w:t>, i Upute za prijavitel</w:t>
            </w:r>
            <w:r w:rsidR="003F44CC">
              <w:rPr>
                <w:rFonts w:ascii="Arial Narrow" w:hAnsi="Arial Narrow"/>
                <w:lang w:val="hr-HR"/>
              </w:rPr>
              <w:t>je pod prihvatljive partnere, točka</w:t>
            </w:r>
            <w:r w:rsidRPr="0073097B">
              <w:rPr>
                <w:rFonts w:ascii="Arial Narrow" w:hAnsi="Arial Narrow"/>
                <w:lang w:val="hr-HR"/>
              </w:rPr>
              <w:t>. 4.1.3. navode upravo: ''poslodavci i udruženja poslodavaca''.  Usklađenost s navedenim utvrdit će se u fazi provjere prihvatljivosti temeljem dokumentacije koju prijavitelj i partner(i) prilože kako zatraženo u točki 6.4. (vidjeti izmjenu Poziva br. 1</w:t>
            </w:r>
            <w:r w:rsidR="003F44CC">
              <w:rPr>
                <w:rFonts w:ascii="Arial Narrow" w:hAnsi="Arial Narrow"/>
                <w:lang w:val="hr-HR"/>
              </w:rPr>
              <w:t xml:space="preserve"> od 8. kolovoza 2014.</w:t>
            </w:r>
            <w:r w:rsidRPr="0073097B">
              <w:rPr>
                <w:rFonts w:ascii="Arial Narrow" w:hAnsi="Arial Narrow"/>
                <w:lang w:val="hr-HR"/>
              </w:rPr>
              <w:t xml:space="preserve">). </w:t>
            </w:r>
          </w:p>
          <w:p w14:paraId="4510733D" w14:textId="77777777" w:rsidR="00682839" w:rsidRDefault="00682839">
            <w:pPr>
              <w:rPr>
                <w:rFonts w:ascii="Arial Narrow" w:hAnsi="Arial Narrow"/>
                <w:lang w:val="hr-HR"/>
              </w:rPr>
            </w:pPr>
          </w:p>
          <w:p w14:paraId="6A1E8DAD" w14:textId="7534BCC4" w:rsidR="00682839" w:rsidRPr="006C5B14" w:rsidRDefault="00682839">
            <w:pPr>
              <w:rPr>
                <w:rFonts w:ascii="Arial Narrow" w:hAnsi="Arial Narrow"/>
                <w:lang w:val="hr-HR"/>
              </w:rPr>
            </w:pPr>
          </w:p>
        </w:tc>
      </w:tr>
      <w:tr w:rsidR="0054579F" w:rsidRPr="00E81F79" w14:paraId="2CE6A51D" w14:textId="77777777" w:rsidTr="00D6355E">
        <w:tc>
          <w:tcPr>
            <w:tcW w:w="4508" w:type="dxa"/>
          </w:tcPr>
          <w:p w14:paraId="3BA67D3B" w14:textId="36B10BAA" w:rsidR="0054579F" w:rsidRPr="00BC0833" w:rsidRDefault="0054579F" w:rsidP="007F205B">
            <w:pPr>
              <w:pStyle w:val="ListParagraph"/>
              <w:numPr>
                <w:ilvl w:val="0"/>
                <w:numId w:val="4"/>
              </w:numPr>
              <w:jc w:val="both"/>
              <w:rPr>
                <w:rFonts w:ascii="Arial Narrow" w:hAnsi="Arial Narrow"/>
                <w:lang w:val="hr-HR"/>
              </w:rPr>
            </w:pPr>
            <w:r w:rsidRPr="00560A99">
              <w:rPr>
                <w:rFonts w:ascii="Arial Narrow" w:hAnsi="Arial Narrow"/>
                <w:lang w:val="hr-HR"/>
              </w:rPr>
              <w:t>Partnerstvo sa stranim partnerom?</w:t>
            </w:r>
          </w:p>
        </w:tc>
        <w:tc>
          <w:tcPr>
            <w:tcW w:w="4508" w:type="dxa"/>
          </w:tcPr>
          <w:p w14:paraId="7D1F17F2" w14:textId="4CC42806" w:rsidR="0054579F" w:rsidRPr="00CE721D" w:rsidRDefault="0054579F" w:rsidP="00EA4E4F">
            <w:pPr>
              <w:jc w:val="both"/>
              <w:rPr>
                <w:rFonts w:ascii="Arial Narrow" w:hAnsi="Arial Narrow"/>
                <w:lang w:val="hr-HR"/>
              </w:rPr>
            </w:pPr>
            <w:r>
              <w:rPr>
                <w:rFonts w:ascii="Arial Narrow" w:hAnsi="Arial Narrow"/>
                <w:lang w:val="hr-HR"/>
              </w:rPr>
              <w:t>U okviru ovog Poziva na dostavu projektnih prijedloga</w:t>
            </w:r>
            <w:r w:rsidR="00B9037E">
              <w:rPr>
                <w:rFonts w:ascii="Arial Narrow" w:hAnsi="Arial Narrow"/>
                <w:lang w:val="hr-HR"/>
              </w:rPr>
              <w:t>,</w:t>
            </w:r>
            <w:r>
              <w:rPr>
                <w:rFonts w:ascii="Arial Narrow" w:hAnsi="Arial Narrow"/>
                <w:lang w:val="hr-HR"/>
              </w:rPr>
              <w:t xml:space="preserve"> a u skladu s Uputama za prijavitelje strani partneri nisu prihvatljivi.</w:t>
            </w:r>
          </w:p>
        </w:tc>
      </w:tr>
      <w:tr w:rsidR="0054579F" w:rsidRPr="00E81F79" w14:paraId="26A00B4C" w14:textId="77777777" w:rsidTr="00D6355E">
        <w:tc>
          <w:tcPr>
            <w:tcW w:w="4508" w:type="dxa"/>
          </w:tcPr>
          <w:p w14:paraId="245D96D4" w14:textId="40DD5F8B" w:rsidR="0054579F" w:rsidRPr="00BC0833" w:rsidRDefault="0054579F" w:rsidP="007F205B">
            <w:pPr>
              <w:pStyle w:val="ListParagraph"/>
              <w:numPr>
                <w:ilvl w:val="0"/>
                <w:numId w:val="4"/>
              </w:numPr>
              <w:jc w:val="both"/>
              <w:rPr>
                <w:rFonts w:ascii="Arial Narrow" w:hAnsi="Arial Narrow"/>
                <w:lang w:val="hr-HR"/>
              </w:rPr>
            </w:pPr>
            <w:r w:rsidRPr="00BC0833">
              <w:rPr>
                <w:rFonts w:ascii="Arial Narrow" w:hAnsi="Arial Narrow"/>
                <w:lang w:val="hr-HR"/>
              </w:rPr>
              <w:t>Željeli bismo Vas pitati da li mogućnost prijavljivanja na natječaj imaju samo državni fakulteti i sveučilišta ili to mogu i privatni fakulteti u ovom slučaju RIT CROATIA?</w:t>
            </w:r>
          </w:p>
        </w:tc>
        <w:tc>
          <w:tcPr>
            <w:tcW w:w="4508" w:type="dxa"/>
          </w:tcPr>
          <w:p w14:paraId="35700C99" w14:textId="5ED29C19" w:rsidR="0054579F" w:rsidRPr="00CE721D" w:rsidRDefault="00D12182" w:rsidP="00706872">
            <w:pPr>
              <w:jc w:val="both"/>
              <w:rPr>
                <w:rFonts w:ascii="Arial Narrow" w:hAnsi="Arial Narrow"/>
                <w:lang w:val="hr-HR"/>
              </w:rPr>
            </w:pPr>
            <w:r>
              <w:rPr>
                <w:rFonts w:ascii="Arial Narrow" w:hAnsi="Arial Narrow"/>
                <w:lang w:val="hr-HR"/>
              </w:rPr>
              <w:t xml:space="preserve">Ukoliko su zadovoljeni kriteriji </w:t>
            </w:r>
            <w:r w:rsidR="00B9037E">
              <w:rPr>
                <w:rFonts w:ascii="Arial Narrow" w:hAnsi="Arial Narrow"/>
                <w:lang w:val="hr-HR"/>
              </w:rPr>
              <w:t xml:space="preserve">postavljeni </w:t>
            </w:r>
            <w:r>
              <w:rPr>
                <w:rFonts w:ascii="Arial Narrow" w:hAnsi="Arial Narrow"/>
                <w:lang w:val="hr-HR"/>
              </w:rPr>
              <w:t>u Uputama za prijavitelje (4</w:t>
            </w:r>
            <w:r w:rsidR="00706872">
              <w:rPr>
                <w:rFonts w:ascii="Arial Narrow" w:hAnsi="Arial Narrow"/>
                <w:lang w:val="hr-HR"/>
              </w:rPr>
              <w:t>.1.1. i 4.1.2. ) te je isto potvrđeno dokumentacijom  sukladno točki 6.4. izmijenjenog poziva, prijavitelj se smatra prihvatljivim.</w:t>
            </w:r>
          </w:p>
        </w:tc>
      </w:tr>
      <w:tr w:rsidR="0054579F" w:rsidRPr="00817E84" w14:paraId="09FB8C52" w14:textId="77777777" w:rsidTr="00D6355E">
        <w:tc>
          <w:tcPr>
            <w:tcW w:w="4508" w:type="dxa"/>
          </w:tcPr>
          <w:p w14:paraId="5D011683" w14:textId="77777777" w:rsidR="0054579F" w:rsidRPr="00817E84" w:rsidRDefault="0054579F" w:rsidP="007F205B">
            <w:pPr>
              <w:pStyle w:val="ListParagraph"/>
              <w:numPr>
                <w:ilvl w:val="0"/>
                <w:numId w:val="4"/>
              </w:numPr>
              <w:jc w:val="both"/>
              <w:rPr>
                <w:rFonts w:ascii="Arial Narrow" w:hAnsi="Arial Narrow"/>
                <w:lang w:val="hr-HR"/>
              </w:rPr>
            </w:pPr>
            <w:r>
              <w:rPr>
                <w:rFonts w:ascii="Arial Narrow" w:hAnsi="Arial Narrow"/>
                <w:lang w:val="hr-HR"/>
              </w:rPr>
              <w:t>Mož</w:t>
            </w:r>
            <w:r w:rsidRPr="00874F66">
              <w:rPr>
                <w:rFonts w:ascii="Arial Narrow" w:hAnsi="Arial Narrow"/>
                <w:lang w:val="hr-HR"/>
              </w:rPr>
              <w:t xml:space="preserve">e li Ured europskog parlamenta iz države članice biti partner u projektu? Ako da, može li se prilikom evaluacije takav </w:t>
            </w:r>
            <w:r w:rsidRPr="00874F66">
              <w:rPr>
                <w:rFonts w:ascii="Arial Narrow" w:hAnsi="Arial Narrow"/>
                <w:lang w:val="hr-HR"/>
              </w:rPr>
              <w:lastRenderedPageBreak/>
              <w:t>partner smatrati prednošću u smislu dodatnih bodova?</w:t>
            </w:r>
          </w:p>
        </w:tc>
        <w:tc>
          <w:tcPr>
            <w:tcW w:w="4508" w:type="dxa"/>
          </w:tcPr>
          <w:p w14:paraId="6320EB8C" w14:textId="2436890B" w:rsidR="00B9037E" w:rsidRDefault="00B9037E" w:rsidP="00EA4E4F">
            <w:pPr>
              <w:jc w:val="both"/>
              <w:rPr>
                <w:rFonts w:ascii="Arial Narrow" w:hAnsi="Arial Narrow"/>
                <w:lang w:val="hr-HR"/>
              </w:rPr>
            </w:pPr>
            <w:r>
              <w:rPr>
                <w:rFonts w:ascii="Arial Narrow" w:hAnsi="Arial Narrow"/>
                <w:lang w:val="hr-HR"/>
              </w:rPr>
              <w:lastRenderedPageBreak/>
              <w:t xml:space="preserve">Sukladno </w:t>
            </w:r>
            <w:r w:rsidR="0073097B">
              <w:rPr>
                <w:rFonts w:ascii="Arial Narrow" w:hAnsi="Arial Narrow"/>
                <w:lang w:val="hr-HR"/>
              </w:rPr>
              <w:t xml:space="preserve">izmjeni predmetnog Poziva, </w:t>
            </w:r>
            <w:r>
              <w:rPr>
                <w:rFonts w:ascii="Arial Narrow" w:hAnsi="Arial Narrow"/>
                <w:lang w:val="hr-HR"/>
              </w:rPr>
              <w:t>točk</w:t>
            </w:r>
            <w:r w:rsidR="0073097B">
              <w:rPr>
                <w:rFonts w:ascii="Arial Narrow" w:hAnsi="Arial Narrow"/>
                <w:lang w:val="hr-HR"/>
              </w:rPr>
              <w:t>a</w:t>
            </w:r>
            <w:r>
              <w:t xml:space="preserve"> </w:t>
            </w:r>
            <w:r w:rsidR="00501A17">
              <w:rPr>
                <w:rFonts w:ascii="Arial Narrow" w:hAnsi="Arial Narrow"/>
                <w:lang w:val="hr-HR"/>
              </w:rPr>
              <w:t>4.1.</w:t>
            </w:r>
            <w:r w:rsidR="0073097B">
              <w:rPr>
                <w:rFonts w:ascii="Arial Narrow" w:hAnsi="Arial Narrow"/>
                <w:lang w:val="hr-HR"/>
              </w:rPr>
              <w:t xml:space="preserve">3. definira </w:t>
            </w:r>
            <w:r w:rsidR="00514319">
              <w:rPr>
                <w:rFonts w:ascii="Arial Narrow" w:hAnsi="Arial Narrow"/>
                <w:lang w:val="hr-HR"/>
              </w:rPr>
              <w:t>prihvatljive partnere na projektu</w:t>
            </w:r>
            <w:r>
              <w:rPr>
                <w:rFonts w:ascii="Arial Narrow" w:hAnsi="Arial Narrow"/>
                <w:lang w:val="hr-HR"/>
              </w:rPr>
              <w:t>,</w:t>
            </w:r>
            <w:r w:rsidRPr="00B9037E">
              <w:rPr>
                <w:rFonts w:ascii="Arial Narrow" w:hAnsi="Arial Narrow"/>
                <w:lang w:val="hr-HR"/>
              </w:rPr>
              <w:t xml:space="preserve"> </w:t>
            </w:r>
            <w:r w:rsidR="00514319">
              <w:rPr>
                <w:rFonts w:ascii="Arial Narrow" w:hAnsi="Arial Narrow"/>
                <w:lang w:val="hr-HR"/>
              </w:rPr>
              <w:t xml:space="preserve">a oni </w:t>
            </w:r>
            <w:r>
              <w:rPr>
                <w:rFonts w:ascii="Arial Narrow" w:hAnsi="Arial Narrow"/>
                <w:lang w:val="hr-HR"/>
              </w:rPr>
              <w:t xml:space="preserve"> </w:t>
            </w:r>
            <w:r w:rsidRPr="00B9037E">
              <w:rPr>
                <w:rFonts w:ascii="Arial Narrow" w:hAnsi="Arial Narrow"/>
                <w:lang w:val="hr-HR"/>
              </w:rPr>
              <w:t xml:space="preserve">mogu biti: </w:t>
            </w:r>
          </w:p>
          <w:p w14:paraId="488DB020" w14:textId="77777777" w:rsidR="00B9037E" w:rsidRDefault="00B9037E" w:rsidP="00EA4E4F">
            <w:pPr>
              <w:pStyle w:val="ListParagraph"/>
              <w:numPr>
                <w:ilvl w:val="0"/>
                <w:numId w:val="21"/>
              </w:numPr>
              <w:jc w:val="both"/>
              <w:rPr>
                <w:rFonts w:ascii="Arial Narrow" w:hAnsi="Arial Narrow"/>
                <w:lang w:val="hr-HR"/>
              </w:rPr>
            </w:pPr>
            <w:r w:rsidRPr="00404167">
              <w:rPr>
                <w:rFonts w:ascii="Arial Narrow" w:hAnsi="Arial Narrow"/>
                <w:lang w:val="hr-HR"/>
              </w:rPr>
              <w:lastRenderedPageBreak/>
              <w:t xml:space="preserve">Sve ustanove navedene pod točkom 4.1.1. prihvatljivi prijavitelji </w:t>
            </w:r>
          </w:p>
          <w:p w14:paraId="063EABFD" w14:textId="77777777" w:rsidR="00B9037E" w:rsidRDefault="00B9037E" w:rsidP="00EA4E4F">
            <w:pPr>
              <w:pStyle w:val="ListParagraph"/>
              <w:numPr>
                <w:ilvl w:val="0"/>
                <w:numId w:val="21"/>
              </w:numPr>
              <w:jc w:val="both"/>
              <w:rPr>
                <w:rFonts w:ascii="Arial Narrow" w:hAnsi="Arial Narrow"/>
                <w:lang w:val="hr-HR"/>
              </w:rPr>
            </w:pPr>
            <w:r w:rsidRPr="004A51F3">
              <w:rPr>
                <w:rFonts w:ascii="Arial Narrow" w:hAnsi="Arial Narrow"/>
                <w:lang w:val="hr-HR"/>
              </w:rPr>
              <w:t xml:space="preserve"> Odgojno-obrazovne ustanove; </w:t>
            </w:r>
          </w:p>
          <w:p w14:paraId="40F22B9E" w14:textId="77777777" w:rsidR="00B9037E" w:rsidRDefault="00B9037E" w:rsidP="00EA4E4F">
            <w:pPr>
              <w:pStyle w:val="ListParagraph"/>
              <w:numPr>
                <w:ilvl w:val="0"/>
                <w:numId w:val="21"/>
              </w:numPr>
              <w:jc w:val="both"/>
              <w:rPr>
                <w:rFonts w:ascii="Arial Narrow" w:hAnsi="Arial Narrow"/>
                <w:lang w:val="hr-HR"/>
              </w:rPr>
            </w:pPr>
            <w:r w:rsidRPr="004A51F3">
              <w:rPr>
                <w:rFonts w:ascii="Arial Narrow" w:hAnsi="Arial Narrow"/>
                <w:lang w:val="hr-HR"/>
              </w:rPr>
              <w:t xml:space="preserve">Ustanove za obrazovanje odraslih; </w:t>
            </w:r>
          </w:p>
          <w:p w14:paraId="7A661966" w14:textId="4708C863" w:rsidR="00B9037E" w:rsidRDefault="00DD4D94" w:rsidP="00EA4E4F">
            <w:pPr>
              <w:pStyle w:val="ListParagraph"/>
              <w:numPr>
                <w:ilvl w:val="0"/>
                <w:numId w:val="21"/>
              </w:numPr>
              <w:jc w:val="both"/>
              <w:rPr>
                <w:rFonts w:ascii="Arial Narrow" w:hAnsi="Arial Narrow"/>
                <w:lang w:val="hr-HR"/>
              </w:rPr>
            </w:pPr>
            <w:r>
              <w:rPr>
                <w:rFonts w:ascii="Arial Narrow" w:hAnsi="Arial Narrow"/>
                <w:lang w:val="hr-HR"/>
              </w:rPr>
              <w:t>U</w:t>
            </w:r>
            <w:r w:rsidR="00514319">
              <w:rPr>
                <w:rFonts w:ascii="Arial Narrow" w:hAnsi="Arial Narrow"/>
                <w:lang w:val="hr-HR"/>
              </w:rPr>
              <w:t>druge</w:t>
            </w:r>
            <w:r w:rsidR="00B9037E" w:rsidRPr="004A51F3">
              <w:rPr>
                <w:rFonts w:ascii="Arial Narrow" w:hAnsi="Arial Narrow"/>
                <w:lang w:val="hr-HR"/>
              </w:rPr>
              <w:t>;</w:t>
            </w:r>
          </w:p>
          <w:p w14:paraId="2A23CB57" w14:textId="3F624CED" w:rsidR="00B9037E" w:rsidRDefault="00B9037E" w:rsidP="00EA4E4F">
            <w:pPr>
              <w:pStyle w:val="ListParagraph"/>
              <w:numPr>
                <w:ilvl w:val="0"/>
                <w:numId w:val="21"/>
              </w:numPr>
              <w:jc w:val="both"/>
              <w:rPr>
                <w:rFonts w:ascii="Arial Narrow" w:hAnsi="Arial Narrow"/>
                <w:lang w:val="hr-HR"/>
              </w:rPr>
            </w:pPr>
            <w:r w:rsidRPr="004A51F3">
              <w:rPr>
                <w:rFonts w:ascii="Arial Narrow" w:hAnsi="Arial Narrow"/>
                <w:lang w:val="hr-HR"/>
              </w:rPr>
              <w:t xml:space="preserve">Studentske organizacije </w:t>
            </w:r>
          </w:p>
          <w:p w14:paraId="392E0973" w14:textId="77777777" w:rsidR="00B9037E" w:rsidRDefault="00B9037E" w:rsidP="00EA4E4F">
            <w:pPr>
              <w:pStyle w:val="ListParagraph"/>
              <w:numPr>
                <w:ilvl w:val="0"/>
                <w:numId w:val="21"/>
              </w:numPr>
              <w:jc w:val="both"/>
              <w:rPr>
                <w:rFonts w:ascii="Arial Narrow" w:hAnsi="Arial Narrow"/>
                <w:lang w:val="hr-HR"/>
              </w:rPr>
            </w:pPr>
            <w:r w:rsidRPr="004A51F3">
              <w:rPr>
                <w:rFonts w:ascii="Arial Narrow" w:hAnsi="Arial Narrow"/>
                <w:lang w:val="hr-HR"/>
              </w:rPr>
              <w:t xml:space="preserve"> Strukovne komore i udruženja; </w:t>
            </w:r>
          </w:p>
          <w:p w14:paraId="607B1104" w14:textId="1E3D1BC2" w:rsidR="00B9037E" w:rsidRDefault="00B9037E" w:rsidP="00EA4E4F">
            <w:pPr>
              <w:pStyle w:val="ListParagraph"/>
              <w:numPr>
                <w:ilvl w:val="0"/>
                <w:numId w:val="21"/>
              </w:numPr>
              <w:jc w:val="both"/>
              <w:rPr>
                <w:rFonts w:ascii="Arial Narrow" w:hAnsi="Arial Narrow"/>
                <w:lang w:val="hr-HR"/>
              </w:rPr>
            </w:pPr>
            <w:r w:rsidRPr="004A51F3">
              <w:rPr>
                <w:rFonts w:ascii="Arial Narrow" w:hAnsi="Arial Narrow"/>
                <w:lang w:val="hr-HR"/>
              </w:rPr>
              <w:t xml:space="preserve"> Tijela državne uprave; </w:t>
            </w:r>
          </w:p>
          <w:p w14:paraId="2706BE12" w14:textId="6A5B247E" w:rsidR="00B9037E" w:rsidRDefault="00B9037E" w:rsidP="00EA4E4F">
            <w:pPr>
              <w:pStyle w:val="ListParagraph"/>
              <w:numPr>
                <w:ilvl w:val="0"/>
                <w:numId w:val="21"/>
              </w:numPr>
              <w:jc w:val="both"/>
              <w:rPr>
                <w:rFonts w:ascii="Arial Narrow" w:hAnsi="Arial Narrow"/>
                <w:lang w:val="hr-HR"/>
              </w:rPr>
            </w:pPr>
            <w:r w:rsidRPr="004A51F3">
              <w:rPr>
                <w:rFonts w:ascii="Arial Narrow" w:hAnsi="Arial Narrow"/>
                <w:lang w:val="hr-HR"/>
              </w:rPr>
              <w:t xml:space="preserve">Jedinice regionalne i lokalne samouprave; </w:t>
            </w:r>
          </w:p>
          <w:p w14:paraId="632B78B8" w14:textId="77777777" w:rsidR="00B9037E" w:rsidRDefault="00B9037E" w:rsidP="00EA4E4F">
            <w:pPr>
              <w:pStyle w:val="ListParagraph"/>
              <w:numPr>
                <w:ilvl w:val="0"/>
                <w:numId w:val="21"/>
              </w:numPr>
              <w:jc w:val="both"/>
              <w:rPr>
                <w:rFonts w:ascii="Arial Narrow" w:hAnsi="Arial Narrow"/>
                <w:lang w:val="hr-HR"/>
              </w:rPr>
            </w:pPr>
            <w:r w:rsidRPr="004A51F3">
              <w:rPr>
                <w:rFonts w:ascii="Arial Narrow" w:hAnsi="Arial Narrow"/>
                <w:lang w:val="hr-HR"/>
              </w:rPr>
              <w:t xml:space="preserve">Poslodavci i udruženja poslodavaca; </w:t>
            </w:r>
          </w:p>
          <w:p w14:paraId="0DC998E7" w14:textId="4593DE86" w:rsidR="0054579F" w:rsidRPr="004A51F3" w:rsidRDefault="00B9037E" w:rsidP="00EA4E4F">
            <w:pPr>
              <w:pStyle w:val="ListParagraph"/>
              <w:numPr>
                <w:ilvl w:val="0"/>
                <w:numId w:val="21"/>
              </w:numPr>
              <w:jc w:val="both"/>
              <w:rPr>
                <w:rFonts w:ascii="Arial Narrow" w:hAnsi="Arial Narrow"/>
                <w:lang w:val="hr-HR"/>
              </w:rPr>
            </w:pPr>
            <w:r w:rsidRPr="004A51F3">
              <w:rPr>
                <w:rFonts w:ascii="Arial Narrow" w:hAnsi="Arial Narrow"/>
                <w:lang w:val="hr-HR"/>
              </w:rPr>
              <w:t>Sindikati.</w:t>
            </w:r>
          </w:p>
        </w:tc>
      </w:tr>
      <w:tr w:rsidR="005A125A" w:rsidRPr="00817E84" w14:paraId="020CF181" w14:textId="77777777" w:rsidTr="00E81F79">
        <w:tc>
          <w:tcPr>
            <w:tcW w:w="9016" w:type="dxa"/>
            <w:gridSpan w:val="2"/>
          </w:tcPr>
          <w:p w14:paraId="2FF26B59" w14:textId="5C67F3DE" w:rsidR="005A125A" w:rsidRPr="005A125A" w:rsidRDefault="005A125A" w:rsidP="005A125A">
            <w:pPr>
              <w:jc w:val="center"/>
              <w:rPr>
                <w:rFonts w:ascii="Arial Narrow" w:hAnsi="Arial Narrow"/>
                <w:b/>
                <w:lang w:val="hr-HR"/>
              </w:rPr>
            </w:pPr>
            <w:r w:rsidRPr="005A125A">
              <w:rPr>
                <w:rFonts w:ascii="Arial Narrow" w:hAnsi="Arial Narrow"/>
                <w:b/>
                <w:lang w:val="hr-HR"/>
              </w:rPr>
              <w:lastRenderedPageBreak/>
              <w:t>Ostalo</w:t>
            </w:r>
          </w:p>
        </w:tc>
      </w:tr>
      <w:tr w:rsidR="0054579F" w:rsidRPr="00E81F79" w14:paraId="064D0A7C" w14:textId="77777777" w:rsidTr="00D6355E">
        <w:tc>
          <w:tcPr>
            <w:tcW w:w="4508" w:type="dxa"/>
          </w:tcPr>
          <w:p w14:paraId="1242D453" w14:textId="77777777" w:rsidR="0054579F" w:rsidRPr="00874F66" w:rsidRDefault="0054579F" w:rsidP="007F205B">
            <w:pPr>
              <w:pStyle w:val="ListParagraph"/>
              <w:numPr>
                <w:ilvl w:val="0"/>
                <w:numId w:val="4"/>
              </w:numPr>
              <w:jc w:val="both"/>
              <w:rPr>
                <w:rFonts w:ascii="Arial Narrow" w:hAnsi="Arial Narrow"/>
                <w:lang w:val="hr-HR"/>
              </w:rPr>
            </w:pPr>
            <w:r w:rsidRPr="00874F66">
              <w:rPr>
                <w:rFonts w:ascii="Arial Narrow" w:hAnsi="Arial Narrow"/>
                <w:lang w:val="hr-HR"/>
              </w:rPr>
              <w:t>Što se samih aktivnosti tiče, može li se ciljana skupina (koja su primarno studenti), proširiti i na druge dionike u svrhu poticanja life long learninga (npr. suci, odvjetnici, državna uprava, predstavnici NGO)?</w:t>
            </w:r>
          </w:p>
        </w:tc>
        <w:tc>
          <w:tcPr>
            <w:tcW w:w="4508" w:type="dxa"/>
          </w:tcPr>
          <w:p w14:paraId="28D81FEA" w14:textId="03FFC3A7" w:rsidR="0054579F" w:rsidRPr="00817E84" w:rsidRDefault="00B9037E" w:rsidP="00EA4E4F">
            <w:pPr>
              <w:jc w:val="both"/>
              <w:rPr>
                <w:rFonts w:ascii="Arial Narrow" w:hAnsi="Arial Narrow"/>
                <w:lang w:val="hr-HR"/>
              </w:rPr>
            </w:pPr>
            <w:r>
              <w:rPr>
                <w:rFonts w:ascii="Arial Narrow" w:hAnsi="Arial Narrow"/>
                <w:lang w:val="hr-HR"/>
              </w:rPr>
              <w:t xml:space="preserve">Upute za prijavitelje u poglavlju 2 </w:t>
            </w:r>
            <w:r w:rsidRPr="00B9037E">
              <w:rPr>
                <w:rFonts w:ascii="Arial Narrow" w:hAnsi="Arial Narrow"/>
                <w:lang w:val="hr-HR"/>
              </w:rPr>
              <w:t>Predmet poziva i opće informacije</w:t>
            </w:r>
            <w:r>
              <w:rPr>
                <w:rFonts w:ascii="Arial Narrow" w:hAnsi="Arial Narrow"/>
                <w:lang w:val="hr-HR"/>
              </w:rPr>
              <w:t xml:space="preserve"> precizno definir</w:t>
            </w:r>
            <w:r w:rsidR="0043053B">
              <w:rPr>
                <w:rFonts w:ascii="Arial Narrow" w:hAnsi="Arial Narrow"/>
                <w:lang w:val="hr-HR"/>
              </w:rPr>
              <w:t>aju ciljne skupine ovoga Poziva. Imajte na umu da će se u postupku procjene kvalitete projektnih prijedloga, u fazi odabira, razmatrati i  koliko j</w:t>
            </w:r>
            <w:r w:rsidR="0043053B" w:rsidRPr="0043053B">
              <w:rPr>
                <w:rFonts w:ascii="Arial Narrow" w:hAnsi="Arial Narrow"/>
                <w:lang w:val="hr-HR"/>
              </w:rPr>
              <w:t>asno</w:t>
            </w:r>
            <w:r w:rsidR="0043053B">
              <w:rPr>
                <w:rFonts w:ascii="Arial Narrow" w:hAnsi="Arial Narrow"/>
                <w:lang w:val="hr-HR"/>
              </w:rPr>
              <w:t xml:space="preserve"> su</w:t>
            </w:r>
            <w:r w:rsidR="0043053B" w:rsidRPr="0043053B">
              <w:rPr>
                <w:rFonts w:ascii="Arial Narrow" w:hAnsi="Arial Narrow"/>
                <w:lang w:val="hr-HR"/>
              </w:rPr>
              <w:t xml:space="preserve"> definirane ciljne skupine i njihova povezanost s ciljevima i pokazateljima  Poziva</w:t>
            </w:r>
            <w:r w:rsidR="005D3A76">
              <w:rPr>
                <w:rFonts w:ascii="Arial Narrow" w:hAnsi="Arial Narrow"/>
                <w:lang w:val="hr-HR"/>
              </w:rPr>
              <w:t xml:space="preserve"> (tablica na str. 26/27)</w:t>
            </w:r>
            <w:r w:rsidR="0043053B">
              <w:rPr>
                <w:rFonts w:ascii="Arial Narrow" w:hAnsi="Arial Narrow"/>
                <w:lang w:val="hr-HR"/>
              </w:rPr>
              <w:t>. Radi se o kriteriju koji se primjenjuje prilikom procjene relevantnosti projektne prijave i koji, ovisno o kvaliteti definiranja ciljnih skupina u pojedinoj projektnoj prijavi</w:t>
            </w:r>
            <w:r w:rsidR="005D3A76">
              <w:rPr>
                <w:rFonts w:ascii="Arial Narrow" w:hAnsi="Arial Narrow"/>
                <w:lang w:val="hr-HR"/>
              </w:rPr>
              <w:t>,</w:t>
            </w:r>
            <w:r w:rsidR="0043053B">
              <w:rPr>
                <w:rFonts w:ascii="Arial Narrow" w:hAnsi="Arial Narrow"/>
                <w:lang w:val="hr-HR"/>
              </w:rPr>
              <w:t xml:space="preserve"> može osigurati/oduzeti značajan broj bodova. </w:t>
            </w:r>
          </w:p>
        </w:tc>
      </w:tr>
      <w:tr w:rsidR="0054579F" w:rsidRPr="00817E84" w14:paraId="22A7C923" w14:textId="77777777" w:rsidTr="00D6355E">
        <w:tc>
          <w:tcPr>
            <w:tcW w:w="4508" w:type="dxa"/>
          </w:tcPr>
          <w:p w14:paraId="5497EC8B" w14:textId="77777777" w:rsidR="0054579F" w:rsidRPr="00817E84" w:rsidRDefault="0054579F" w:rsidP="007F205B">
            <w:pPr>
              <w:pStyle w:val="ListParagraph"/>
              <w:numPr>
                <w:ilvl w:val="0"/>
                <w:numId w:val="4"/>
              </w:numPr>
              <w:jc w:val="both"/>
              <w:rPr>
                <w:rFonts w:ascii="Arial Narrow" w:hAnsi="Arial Narrow"/>
                <w:lang w:val="hr-HR"/>
              </w:rPr>
            </w:pPr>
            <w:r w:rsidRPr="00817E84">
              <w:rPr>
                <w:rFonts w:ascii="Arial Narrow" w:hAnsi="Arial Narrow"/>
                <w:lang w:val="hr-HR"/>
              </w:rPr>
              <w:t>Zašto među prioritetnim područjima nema „Sigurnosti“ koja se veže uz zanimanja inženjera Zaštite na radu, Zaštite od požara, Zaštite vida?</w:t>
            </w:r>
          </w:p>
        </w:tc>
        <w:tc>
          <w:tcPr>
            <w:tcW w:w="4508" w:type="dxa"/>
          </w:tcPr>
          <w:p w14:paraId="635A84DC" w14:textId="7711BCD6" w:rsidR="0054579F" w:rsidRPr="00817E84" w:rsidRDefault="00E178DB" w:rsidP="00EA4E4F">
            <w:pPr>
              <w:jc w:val="both"/>
              <w:rPr>
                <w:rFonts w:ascii="Arial Narrow" w:hAnsi="Arial Narrow"/>
                <w:lang w:val="hr-HR"/>
              </w:rPr>
            </w:pPr>
            <w:r>
              <w:rPr>
                <w:rFonts w:ascii="Arial Narrow" w:hAnsi="Arial Narrow"/>
                <w:lang w:val="hr-HR"/>
              </w:rPr>
              <w:t xml:space="preserve">Ukoliko se vaše pitanje odnosi na prihvatljive aktivnosti </w:t>
            </w:r>
            <w:r w:rsidR="00EA4E4F">
              <w:rPr>
                <w:rFonts w:ascii="Arial Narrow" w:hAnsi="Arial Narrow"/>
                <w:lang w:val="hr-HR"/>
              </w:rPr>
              <w:t>u I</w:t>
            </w:r>
            <w:r w:rsidR="00EA4E4F" w:rsidRPr="00EA4E4F">
              <w:rPr>
                <w:rFonts w:ascii="Arial Narrow" w:hAnsi="Arial Narrow"/>
                <w:lang w:val="hr-HR"/>
              </w:rPr>
              <w:t>zmjeni predmetnog Poziva</w:t>
            </w:r>
            <w:r w:rsidR="00EA4E4F">
              <w:rPr>
                <w:rFonts w:ascii="Arial Narrow" w:hAnsi="Arial Narrow"/>
                <w:lang w:val="hr-HR"/>
              </w:rPr>
              <w:t>,</w:t>
            </w:r>
            <w:r>
              <w:rPr>
                <w:rFonts w:ascii="Arial Narrow" w:hAnsi="Arial Narrow"/>
                <w:lang w:val="hr-HR"/>
              </w:rPr>
              <w:t xml:space="preserve"> upućujemo vas na </w:t>
            </w:r>
            <w:r w:rsidRPr="00E178DB">
              <w:rPr>
                <w:rFonts w:ascii="Arial Narrow" w:hAnsi="Arial Narrow"/>
                <w:lang w:val="hr-HR"/>
              </w:rPr>
              <w:t>Uput</w:t>
            </w:r>
            <w:r>
              <w:rPr>
                <w:rFonts w:ascii="Arial Narrow" w:hAnsi="Arial Narrow"/>
                <w:lang w:val="hr-HR"/>
              </w:rPr>
              <w:t xml:space="preserve">e </w:t>
            </w:r>
            <w:r w:rsidRPr="00E178DB">
              <w:rPr>
                <w:rFonts w:ascii="Arial Narrow" w:hAnsi="Arial Narrow"/>
                <w:lang w:val="hr-HR"/>
              </w:rPr>
              <w:t xml:space="preserve">za prijavitelje </w:t>
            </w:r>
            <w:r>
              <w:rPr>
                <w:rFonts w:ascii="Arial Narrow" w:hAnsi="Arial Narrow"/>
                <w:lang w:val="hr-HR"/>
              </w:rPr>
              <w:t>koje</w:t>
            </w:r>
            <w:r w:rsidRPr="00E178DB">
              <w:rPr>
                <w:rFonts w:ascii="Arial Narrow" w:hAnsi="Arial Narrow"/>
                <w:lang w:val="hr-HR"/>
              </w:rPr>
              <w:t xml:space="preserve"> u točki 4.2.3. Prihvatljive aktivnosti </w:t>
            </w:r>
            <w:r>
              <w:rPr>
                <w:rFonts w:ascii="Arial Narrow" w:hAnsi="Arial Narrow"/>
                <w:lang w:val="hr-HR"/>
              </w:rPr>
              <w:t>donose</w:t>
            </w:r>
            <w:r w:rsidRPr="00E178DB">
              <w:rPr>
                <w:rFonts w:ascii="Arial Narrow" w:hAnsi="Arial Narrow"/>
                <w:lang w:val="hr-HR"/>
              </w:rPr>
              <w:t xml:space="preserve"> popis obveznih te neobveznih prihvatljivih aktivnosti </w:t>
            </w:r>
            <w:r>
              <w:rPr>
                <w:rFonts w:ascii="Arial Narrow" w:hAnsi="Arial Narrow"/>
                <w:lang w:val="hr-HR"/>
              </w:rPr>
              <w:t xml:space="preserve"> gdje nema ograničenja vezanih uz prioritetna područja navedena u poglavlju 2</w:t>
            </w:r>
            <w:r w:rsidRPr="00E178DB">
              <w:rPr>
                <w:rFonts w:ascii="Arial Narrow" w:hAnsi="Arial Narrow"/>
                <w:lang w:val="hr-HR"/>
              </w:rPr>
              <w:t>. Predmet poziva i opće informacije</w:t>
            </w:r>
            <w:r>
              <w:rPr>
                <w:rFonts w:ascii="Arial Narrow" w:hAnsi="Arial Narrow"/>
                <w:lang w:val="hr-HR"/>
              </w:rPr>
              <w:t>.</w:t>
            </w:r>
            <w:r w:rsidR="002D0E6B">
              <w:rPr>
                <w:rFonts w:ascii="Arial Narrow" w:hAnsi="Arial Narrow"/>
                <w:lang w:val="hr-HR"/>
              </w:rPr>
              <w:t xml:space="preserve"> Međutim, kao što je navedeno u referenci na pod kriterij za odabir 1.2. (str. 26/27) prioritetni sektori su odabrani sukladno analizi</w:t>
            </w:r>
            <w:r w:rsidR="002D0E6B" w:rsidRPr="002D0E6B">
              <w:rPr>
                <w:rFonts w:ascii="Arial Narrow" w:hAnsi="Arial Narrow"/>
                <w:lang w:val="hr-HR"/>
              </w:rPr>
              <w:t xml:space="preserve"> učinka industrijske strategije na tržište rada</w:t>
            </w:r>
            <w:r w:rsidR="002D0E6B">
              <w:rPr>
                <w:rFonts w:ascii="Arial Narrow" w:hAnsi="Arial Narrow"/>
                <w:lang w:val="hr-HR"/>
              </w:rPr>
              <w:t xml:space="preserve">. </w:t>
            </w:r>
          </w:p>
        </w:tc>
      </w:tr>
      <w:tr w:rsidR="0054579F" w:rsidRPr="00817E84" w14:paraId="4E178988" w14:textId="77777777" w:rsidTr="00D6355E">
        <w:tc>
          <w:tcPr>
            <w:tcW w:w="4508" w:type="dxa"/>
          </w:tcPr>
          <w:p w14:paraId="19DBF5B2" w14:textId="77777777" w:rsidR="0054579F" w:rsidRPr="00870835" w:rsidRDefault="0054579F" w:rsidP="007F205B">
            <w:pPr>
              <w:pStyle w:val="ListParagraph"/>
              <w:numPr>
                <w:ilvl w:val="0"/>
                <w:numId w:val="4"/>
              </w:numPr>
              <w:jc w:val="both"/>
              <w:rPr>
                <w:rFonts w:ascii="Arial Narrow" w:hAnsi="Arial Narrow"/>
                <w:lang w:val="hr-HR"/>
              </w:rPr>
            </w:pPr>
            <w:r w:rsidRPr="00870835">
              <w:rPr>
                <w:rFonts w:ascii="Arial Narrow" w:hAnsi="Arial Narrow"/>
                <w:lang w:val="hr-HR"/>
              </w:rPr>
              <w:t>Je li Revizija obavezna vezano uz vrijednost Ugovora (poveznica sa IPA projektima gdje je iznad 100.000€ zahtijevana ista)?</w:t>
            </w:r>
          </w:p>
        </w:tc>
        <w:tc>
          <w:tcPr>
            <w:tcW w:w="4508" w:type="dxa"/>
          </w:tcPr>
          <w:p w14:paraId="1606315F" w14:textId="77777777" w:rsidR="003269F3" w:rsidRPr="00870835" w:rsidRDefault="003269F3" w:rsidP="00EA4E4F">
            <w:pPr>
              <w:jc w:val="both"/>
              <w:rPr>
                <w:rFonts w:ascii="Arial Narrow" w:hAnsi="Arial Narrow"/>
                <w:lang w:val="hr-HR"/>
              </w:rPr>
            </w:pPr>
            <w:r w:rsidRPr="00870835">
              <w:rPr>
                <w:rFonts w:ascii="Arial Narrow" w:hAnsi="Arial Narrow"/>
                <w:lang w:val="hr-HR"/>
              </w:rPr>
              <w:t xml:space="preserve">Vanjska revizija je prihvatljiva aktivnost i trošak, </w:t>
            </w:r>
          </w:p>
          <w:p w14:paraId="266D6710" w14:textId="07B0634F" w:rsidR="00870835" w:rsidRPr="00870835" w:rsidRDefault="00DD4D94" w:rsidP="00EA4E4F">
            <w:pPr>
              <w:jc w:val="both"/>
              <w:rPr>
                <w:rFonts w:ascii="Arial Narrow" w:hAnsi="Arial Narrow"/>
                <w:lang w:val="hr-HR"/>
              </w:rPr>
            </w:pPr>
            <w:r>
              <w:rPr>
                <w:rFonts w:ascii="Arial Narrow" w:hAnsi="Arial Narrow"/>
                <w:lang w:val="hr-HR"/>
              </w:rPr>
              <w:t xml:space="preserve">ali nije obvezna (vidjeti i odgovor pod brojem 24.) </w:t>
            </w:r>
          </w:p>
        </w:tc>
      </w:tr>
      <w:tr w:rsidR="0054579F" w:rsidRPr="00E81F79" w14:paraId="23D88F51" w14:textId="77777777" w:rsidTr="006C5B14">
        <w:tc>
          <w:tcPr>
            <w:tcW w:w="4508" w:type="dxa"/>
            <w:shd w:val="clear" w:color="auto" w:fill="auto"/>
          </w:tcPr>
          <w:p w14:paraId="78041380" w14:textId="77777777" w:rsidR="0054579F" w:rsidRPr="008F7729" w:rsidRDefault="0054579F" w:rsidP="007F205B">
            <w:pPr>
              <w:pStyle w:val="ListParagraph"/>
              <w:numPr>
                <w:ilvl w:val="0"/>
                <w:numId w:val="4"/>
              </w:numPr>
              <w:jc w:val="both"/>
              <w:rPr>
                <w:rFonts w:ascii="Arial Narrow" w:hAnsi="Arial Narrow"/>
                <w:lang w:val="hr-HR"/>
              </w:rPr>
            </w:pPr>
            <w:r w:rsidRPr="008F7729">
              <w:rPr>
                <w:rFonts w:ascii="Arial Narrow" w:hAnsi="Arial Narrow"/>
                <w:lang w:val="hr-HR"/>
              </w:rPr>
              <w:t>Status „Dopusnice“ u periodu trajanja projekta te nakon ako je očekivana promjena programa veća od 20%?</w:t>
            </w:r>
          </w:p>
        </w:tc>
        <w:tc>
          <w:tcPr>
            <w:tcW w:w="4508" w:type="dxa"/>
            <w:shd w:val="clear" w:color="auto" w:fill="auto"/>
          </w:tcPr>
          <w:p w14:paraId="4F6D0152" w14:textId="26FDE311" w:rsidR="0054579F" w:rsidRPr="00934803" w:rsidRDefault="00934803" w:rsidP="00EA4E4F">
            <w:pPr>
              <w:jc w:val="both"/>
              <w:rPr>
                <w:rFonts w:ascii="Arial Narrow" w:hAnsi="Arial Narrow"/>
                <w:lang w:val="hr-HR"/>
              </w:rPr>
            </w:pPr>
            <w:r w:rsidRPr="00934803">
              <w:rPr>
                <w:rFonts w:ascii="Arial Narrow" w:hAnsi="Arial Narrow"/>
                <w:lang w:val="hr-HR"/>
              </w:rPr>
              <w:t xml:space="preserve">Sukladno </w:t>
            </w:r>
            <w:r w:rsidR="00EA4E4F">
              <w:rPr>
                <w:rFonts w:ascii="Arial Narrow" w:hAnsi="Arial Narrow"/>
                <w:lang w:val="hr-HR"/>
              </w:rPr>
              <w:t xml:space="preserve">Izmjeni ovog poziva, u </w:t>
            </w:r>
            <w:r w:rsidRPr="00934803">
              <w:rPr>
                <w:rFonts w:ascii="Arial Narrow" w:hAnsi="Arial Narrow"/>
                <w:lang w:val="hr-HR"/>
              </w:rPr>
              <w:t xml:space="preserve">Uputama za prijavitelje, u točki 4.2.3. Prihvatljive aktivnosti, projekti moraju obavezno provoditi </w:t>
            </w:r>
            <w:r>
              <w:rPr>
                <w:rFonts w:ascii="Arial Narrow" w:hAnsi="Arial Narrow"/>
                <w:lang w:val="hr-HR"/>
              </w:rPr>
              <w:t xml:space="preserve">i aktivnost </w:t>
            </w:r>
            <w:r w:rsidRPr="00934803">
              <w:rPr>
                <w:rFonts w:ascii="Arial Narrow" w:hAnsi="Arial Narrow"/>
                <w:lang w:val="hr-HR"/>
              </w:rPr>
              <w:t>razvoj</w:t>
            </w:r>
            <w:r>
              <w:rPr>
                <w:rFonts w:ascii="Arial Narrow" w:hAnsi="Arial Narrow"/>
                <w:lang w:val="hr-HR"/>
              </w:rPr>
              <w:t>a</w:t>
            </w:r>
            <w:r w:rsidRPr="00934803">
              <w:rPr>
                <w:rFonts w:ascii="Arial Narrow" w:hAnsi="Arial Narrow"/>
                <w:lang w:val="hr-HR"/>
              </w:rPr>
              <w:t xml:space="preserve"> novih</w:t>
            </w:r>
            <w:r w:rsidR="00EA4E4F">
              <w:rPr>
                <w:rFonts w:ascii="Arial Narrow" w:hAnsi="Arial Narrow"/>
                <w:lang w:val="hr-HR"/>
              </w:rPr>
              <w:t xml:space="preserve"> i/ili</w:t>
            </w:r>
            <w:r w:rsidRPr="00934803">
              <w:rPr>
                <w:rFonts w:ascii="Arial Narrow" w:hAnsi="Arial Narrow"/>
                <w:lang w:val="hr-HR"/>
              </w:rPr>
              <w:t xml:space="preserve">  unapređenj</w:t>
            </w:r>
            <w:r>
              <w:rPr>
                <w:rFonts w:ascii="Arial Narrow" w:hAnsi="Arial Narrow"/>
                <w:lang w:val="hr-HR"/>
              </w:rPr>
              <w:t>a</w:t>
            </w:r>
            <w:r w:rsidRPr="00934803">
              <w:rPr>
                <w:rFonts w:ascii="Arial Narrow" w:hAnsi="Arial Narrow"/>
                <w:lang w:val="hr-HR"/>
              </w:rPr>
              <w:t xml:space="preserve"> postojećih studijskih programa</w:t>
            </w:r>
            <w:r>
              <w:rPr>
                <w:rFonts w:ascii="Arial Narrow" w:hAnsi="Arial Narrow"/>
                <w:lang w:val="hr-HR"/>
              </w:rPr>
              <w:t xml:space="preserve"> u skladu s HKO- om pri čemu unapređenje postojećeg studijskog programa može podrazumijevati izmjenu studijskog programa veću od 20%.</w:t>
            </w:r>
            <w:r w:rsidR="00863DFB">
              <w:rPr>
                <w:rFonts w:ascii="Arial Narrow" w:hAnsi="Arial Narrow"/>
                <w:lang w:val="hr-HR"/>
              </w:rPr>
              <w:t xml:space="preserve"> Inicijalna a</w:t>
            </w:r>
            <w:r>
              <w:rPr>
                <w:rFonts w:ascii="Arial Narrow" w:hAnsi="Arial Narrow"/>
                <w:lang w:val="hr-HR"/>
              </w:rPr>
              <w:t>kreditacija</w:t>
            </w:r>
            <w:r w:rsidR="00863DFB">
              <w:rPr>
                <w:rFonts w:ascii="Arial Narrow" w:hAnsi="Arial Narrow"/>
                <w:lang w:val="hr-HR"/>
              </w:rPr>
              <w:t xml:space="preserve"> i reakreditacija studijskih programa koji su izrađeni u okviru projekta neovisna je o provedbi projekta i provodi se sukladno postojećim propisima: Zakonu o osigurava</w:t>
            </w:r>
            <w:r w:rsidR="00E40A40">
              <w:rPr>
                <w:rFonts w:ascii="Arial Narrow" w:hAnsi="Arial Narrow"/>
                <w:lang w:val="hr-HR"/>
              </w:rPr>
              <w:t>n</w:t>
            </w:r>
            <w:r w:rsidR="00863DFB">
              <w:rPr>
                <w:rFonts w:ascii="Arial Narrow" w:hAnsi="Arial Narrow"/>
                <w:lang w:val="hr-HR"/>
              </w:rPr>
              <w:t xml:space="preserve">ju kvalitete u znanosti i visokom obrazovanju </w:t>
            </w:r>
            <w:r w:rsidR="00863DFB" w:rsidRPr="00863DFB">
              <w:rPr>
                <w:rFonts w:ascii="Arial Narrow" w:hAnsi="Arial Narrow"/>
                <w:lang w:val="hr-HR"/>
              </w:rPr>
              <w:t xml:space="preserve">(»Narodne novine«, broj 45/09) </w:t>
            </w:r>
            <w:r w:rsidR="00863DFB">
              <w:rPr>
                <w:rFonts w:ascii="Arial Narrow" w:hAnsi="Arial Narrow"/>
                <w:lang w:val="hr-HR"/>
              </w:rPr>
              <w:t>i Pravilniku o sadržaju dopusnice te uvjetima za izdavanje dopusnice za obavljanje djelatnosti visokog obrazovanja, izvođenje studijskog programa i reakreditaciju visokih učilišta (</w:t>
            </w:r>
            <w:r w:rsidR="00863DFB" w:rsidRPr="00863DFB">
              <w:rPr>
                <w:rFonts w:ascii="Arial Narrow" w:hAnsi="Arial Narrow"/>
                <w:lang w:val="hr-HR"/>
              </w:rPr>
              <w:t xml:space="preserve">»Narodne </w:t>
            </w:r>
            <w:r w:rsidR="00863DFB" w:rsidRPr="00863DFB">
              <w:rPr>
                <w:rFonts w:ascii="Arial Narrow" w:hAnsi="Arial Narrow"/>
                <w:lang w:val="hr-HR"/>
              </w:rPr>
              <w:lastRenderedPageBreak/>
              <w:t xml:space="preserve">novine«, broj </w:t>
            </w:r>
            <w:r w:rsidR="00863DFB">
              <w:rPr>
                <w:rFonts w:ascii="Arial Narrow" w:hAnsi="Arial Narrow"/>
                <w:lang w:val="hr-HR"/>
              </w:rPr>
              <w:t>24</w:t>
            </w:r>
            <w:r w:rsidR="00863DFB" w:rsidRPr="00863DFB">
              <w:rPr>
                <w:rFonts w:ascii="Arial Narrow" w:hAnsi="Arial Narrow"/>
                <w:lang w:val="hr-HR"/>
              </w:rPr>
              <w:t>/</w:t>
            </w:r>
            <w:r w:rsidR="00863DFB">
              <w:rPr>
                <w:rFonts w:ascii="Arial Narrow" w:hAnsi="Arial Narrow"/>
                <w:lang w:val="hr-HR"/>
              </w:rPr>
              <w:t>10</w:t>
            </w:r>
            <w:r w:rsidR="00863DFB" w:rsidRPr="00863DFB">
              <w:rPr>
                <w:rFonts w:ascii="Arial Narrow" w:hAnsi="Arial Narrow"/>
                <w:lang w:val="hr-HR"/>
              </w:rPr>
              <w:t>)</w:t>
            </w:r>
            <w:r w:rsidR="00863DFB">
              <w:rPr>
                <w:rFonts w:ascii="Arial Narrow" w:hAnsi="Arial Narrow"/>
                <w:lang w:val="hr-HR"/>
              </w:rPr>
              <w:t xml:space="preserve">. Provjera usklađenosti studijskog programa s standardom kvalifikacije jednako je </w:t>
            </w:r>
            <w:r w:rsidR="00863DFB" w:rsidRPr="00863DFB">
              <w:rPr>
                <w:rFonts w:ascii="Arial Narrow" w:hAnsi="Arial Narrow"/>
                <w:lang w:val="hr-HR"/>
              </w:rPr>
              <w:t xml:space="preserve">neovisna o provedbi projekta i provodi se </w:t>
            </w:r>
            <w:r w:rsidR="00863DFB">
              <w:rPr>
                <w:rFonts w:ascii="Arial Narrow" w:hAnsi="Arial Narrow"/>
                <w:lang w:val="hr-HR"/>
              </w:rPr>
              <w:t>sukladno Pravilniku o Registru Hrvatskog kvalifikacijskog okvira („Narodne novine“ 62/14)</w:t>
            </w:r>
          </w:p>
        </w:tc>
      </w:tr>
      <w:tr w:rsidR="006C5B14" w:rsidRPr="00E81F79" w14:paraId="4505EE7D" w14:textId="77777777" w:rsidTr="00DD4D94">
        <w:tc>
          <w:tcPr>
            <w:tcW w:w="4508" w:type="dxa"/>
            <w:shd w:val="clear" w:color="auto" w:fill="auto"/>
          </w:tcPr>
          <w:p w14:paraId="45FED8D0" w14:textId="42650DD0" w:rsidR="0054579F" w:rsidRPr="00DD4D94" w:rsidRDefault="0054579F" w:rsidP="007F205B">
            <w:pPr>
              <w:pStyle w:val="ListParagraph"/>
              <w:numPr>
                <w:ilvl w:val="0"/>
                <w:numId w:val="4"/>
              </w:numPr>
              <w:jc w:val="both"/>
              <w:rPr>
                <w:rFonts w:ascii="Arial Narrow" w:hAnsi="Arial Narrow"/>
                <w:color w:val="000000" w:themeColor="text1"/>
                <w:lang w:val="hr-HR"/>
              </w:rPr>
            </w:pPr>
            <w:r w:rsidRPr="00DD4D94">
              <w:rPr>
                <w:rFonts w:ascii="Arial Narrow" w:hAnsi="Arial Narrow"/>
                <w:color w:val="000000" w:themeColor="text1"/>
                <w:lang w:val="hr-HR"/>
              </w:rPr>
              <w:lastRenderedPageBreak/>
              <w:t>U koju vrstu troška ulazi usluga va</w:t>
            </w:r>
            <w:r w:rsidR="00D7676A" w:rsidRPr="00DD4D94">
              <w:rPr>
                <w:rFonts w:ascii="Arial Narrow" w:hAnsi="Arial Narrow"/>
                <w:color w:val="000000" w:themeColor="text1"/>
                <w:lang w:val="hr-HR"/>
              </w:rPr>
              <w:t xml:space="preserve">njske pravne službe? </w:t>
            </w:r>
          </w:p>
        </w:tc>
        <w:tc>
          <w:tcPr>
            <w:tcW w:w="4508" w:type="dxa"/>
          </w:tcPr>
          <w:p w14:paraId="2F4165E2" w14:textId="36380F26" w:rsidR="00A6673D" w:rsidRPr="006C5B14" w:rsidRDefault="00514319" w:rsidP="009F28FB">
            <w:pPr>
              <w:jc w:val="both"/>
              <w:rPr>
                <w:rFonts w:ascii="Arial Narrow" w:hAnsi="Arial Narrow"/>
                <w:color w:val="000000" w:themeColor="text1"/>
                <w:lang w:val="hr-HR"/>
              </w:rPr>
            </w:pPr>
            <w:r w:rsidRPr="006C5B14">
              <w:rPr>
                <w:rFonts w:ascii="Arial Narrow" w:hAnsi="Arial Narrow"/>
                <w:color w:val="000000" w:themeColor="text1"/>
                <w:lang w:val="hr-HR"/>
              </w:rPr>
              <w:t xml:space="preserve">Pregled osnovnih vrsta troškova koji su prihvatljivi u okviru </w:t>
            </w:r>
            <w:r>
              <w:rPr>
                <w:rFonts w:ascii="Arial Narrow" w:hAnsi="Arial Narrow"/>
                <w:color w:val="000000" w:themeColor="text1"/>
                <w:lang w:val="hr-HR"/>
              </w:rPr>
              <w:t xml:space="preserve">ovog </w:t>
            </w:r>
            <w:r w:rsidRPr="006C5B14">
              <w:rPr>
                <w:rFonts w:ascii="Arial Narrow" w:hAnsi="Arial Narrow"/>
                <w:color w:val="000000" w:themeColor="text1"/>
                <w:lang w:val="hr-HR"/>
              </w:rPr>
              <w:t>poziva definira</w:t>
            </w:r>
            <w:r>
              <w:rPr>
                <w:rFonts w:ascii="Arial Narrow" w:hAnsi="Arial Narrow"/>
                <w:color w:val="000000" w:themeColor="text1"/>
                <w:lang w:val="hr-HR"/>
              </w:rPr>
              <w:t xml:space="preserve">ni su u </w:t>
            </w:r>
            <w:r w:rsidRPr="006C5B14">
              <w:rPr>
                <w:rFonts w:ascii="Arial Narrow" w:hAnsi="Arial Narrow"/>
                <w:color w:val="000000" w:themeColor="text1"/>
                <w:lang w:val="hr-HR"/>
              </w:rPr>
              <w:t>Uput</w:t>
            </w:r>
            <w:r>
              <w:rPr>
                <w:rFonts w:ascii="Arial Narrow" w:hAnsi="Arial Narrow"/>
                <w:color w:val="000000" w:themeColor="text1"/>
                <w:lang w:val="hr-HR"/>
              </w:rPr>
              <w:t>ama</w:t>
            </w:r>
            <w:r w:rsidRPr="006C5B14">
              <w:rPr>
                <w:rFonts w:ascii="Arial Narrow" w:hAnsi="Arial Narrow"/>
                <w:color w:val="000000" w:themeColor="text1"/>
                <w:lang w:val="hr-HR"/>
              </w:rPr>
              <w:t xml:space="preserve"> za prijavitelje, točka 4.3.2 </w:t>
            </w:r>
            <w:r>
              <w:rPr>
                <w:rFonts w:ascii="Arial Narrow" w:hAnsi="Arial Narrow"/>
                <w:color w:val="000000" w:themeColor="text1"/>
                <w:lang w:val="hr-HR"/>
              </w:rPr>
              <w:t>.</w:t>
            </w:r>
            <w:r w:rsidR="00A6673D" w:rsidRPr="006C5B14">
              <w:rPr>
                <w:rFonts w:ascii="Arial Narrow" w:hAnsi="Arial Narrow"/>
                <w:color w:val="000000" w:themeColor="text1"/>
                <w:lang w:val="hr-HR"/>
              </w:rPr>
              <w:t xml:space="preserve"> Ukoliko je vanjska usluga pravne službe </w:t>
            </w:r>
            <w:r>
              <w:rPr>
                <w:rFonts w:ascii="Arial Narrow" w:hAnsi="Arial Narrow"/>
                <w:color w:val="000000" w:themeColor="text1"/>
                <w:lang w:val="hr-HR"/>
              </w:rPr>
              <w:t xml:space="preserve">neposredno vezana uz projekt  te </w:t>
            </w:r>
            <w:r w:rsidR="00E178DB" w:rsidRPr="006C5B14">
              <w:rPr>
                <w:rFonts w:ascii="Arial Narrow" w:hAnsi="Arial Narrow"/>
                <w:color w:val="000000" w:themeColor="text1"/>
                <w:lang w:val="hr-HR"/>
              </w:rPr>
              <w:t>neophodn</w:t>
            </w:r>
            <w:r>
              <w:rPr>
                <w:rFonts w:ascii="Arial Narrow" w:hAnsi="Arial Narrow"/>
                <w:color w:val="000000" w:themeColor="text1"/>
                <w:lang w:val="hr-HR"/>
              </w:rPr>
              <w:t>a</w:t>
            </w:r>
            <w:r w:rsidR="00E178DB" w:rsidRPr="006C5B14">
              <w:rPr>
                <w:rFonts w:ascii="Arial Narrow" w:hAnsi="Arial Narrow"/>
                <w:color w:val="000000" w:themeColor="text1"/>
                <w:lang w:val="hr-HR"/>
              </w:rPr>
              <w:t xml:space="preserve"> </w:t>
            </w:r>
            <w:r>
              <w:rPr>
                <w:rFonts w:ascii="Arial Narrow" w:hAnsi="Arial Narrow"/>
                <w:color w:val="000000" w:themeColor="text1"/>
                <w:lang w:val="hr-HR"/>
              </w:rPr>
              <w:t xml:space="preserve">za učinkovitu provedbu projekta, ista će biti prihvatljiv trošak. </w:t>
            </w:r>
            <w:r w:rsidR="009F28FB" w:rsidRPr="009F28FB">
              <w:rPr>
                <w:rFonts w:ascii="Arial Narrow" w:hAnsi="Arial Narrow"/>
                <w:color w:val="000000" w:themeColor="text1"/>
                <w:lang w:val="hr-HR"/>
              </w:rPr>
              <w:t xml:space="preserve">Napominjemo da Agencija za strukovno obrazovanje i obrazovanje odraslih, Organizacijska jedinica za upravljanje strukturnim instrumentima ima pravo tražiti od prijavitelja da pruži dodatne informacije kako bi se ocijenila prihvatljivost troškova. U slučaju da prijavitelj ne dostavi informacije o prihvatljivosti troškova koje bi Agencija za strukovno obrazovanje i obrazovanje odraslih, Organizacijska jedinica za upravljanje strukturnim instrumentima smatrala zadovoljavajućima,  predmetni troškovi smatrat će se neprihvatljivima. </w:t>
            </w:r>
          </w:p>
          <w:p w14:paraId="5CD07ADA" w14:textId="679CD4AB" w:rsidR="006C5B14" w:rsidRPr="006C5B14" w:rsidRDefault="009F28FB" w:rsidP="00E75D7E">
            <w:pPr>
              <w:jc w:val="both"/>
              <w:rPr>
                <w:rFonts w:ascii="Arial Narrow" w:hAnsi="Arial Narrow"/>
                <w:color w:val="000000" w:themeColor="text1"/>
                <w:lang w:val="hr-HR"/>
              </w:rPr>
            </w:pPr>
            <w:r w:rsidRPr="009F28FB">
              <w:rPr>
                <w:rFonts w:ascii="Arial Narrow" w:hAnsi="Arial Narrow"/>
                <w:color w:val="000000" w:themeColor="text1"/>
                <w:lang w:val="hr-HR"/>
              </w:rPr>
              <w:t>Dodatno podsjećamo da podugovaranje (nabava dobara, usluga, radova) prijavitelje ili partnera nije dozvoljeno.</w:t>
            </w:r>
          </w:p>
        </w:tc>
      </w:tr>
      <w:tr w:rsidR="0054579F" w:rsidRPr="00E81F79" w14:paraId="7002863D" w14:textId="77777777" w:rsidTr="00D6355E">
        <w:tc>
          <w:tcPr>
            <w:tcW w:w="4508" w:type="dxa"/>
          </w:tcPr>
          <w:p w14:paraId="0F9AFD77" w14:textId="77777777" w:rsidR="0054579F" w:rsidRPr="00817E84" w:rsidRDefault="0054579F" w:rsidP="007F205B">
            <w:pPr>
              <w:pStyle w:val="ListParagraph"/>
              <w:numPr>
                <w:ilvl w:val="0"/>
                <w:numId w:val="4"/>
              </w:numPr>
              <w:jc w:val="both"/>
              <w:rPr>
                <w:rFonts w:ascii="Arial Narrow" w:hAnsi="Arial Narrow"/>
                <w:lang w:val="hr-HR"/>
              </w:rPr>
            </w:pPr>
            <w:r w:rsidRPr="00817E84">
              <w:rPr>
                <w:rFonts w:ascii="Arial Narrow" w:hAnsi="Arial Narrow"/>
                <w:lang w:val="hr-HR"/>
              </w:rPr>
              <w:t>Može li se iz projekta nadoknaditi kupovina računala za Voditelja projekta?</w:t>
            </w:r>
          </w:p>
        </w:tc>
        <w:tc>
          <w:tcPr>
            <w:tcW w:w="4508" w:type="dxa"/>
          </w:tcPr>
          <w:p w14:paraId="19347146" w14:textId="58166C0D" w:rsidR="009F28FB" w:rsidRDefault="009F28FB" w:rsidP="00A55069">
            <w:pPr>
              <w:jc w:val="both"/>
              <w:rPr>
                <w:rFonts w:ascii="Arial Narrow" w:hAnsi="Arial Narrow"/>
                <w:lang w:val="hr-HR"/>
              </w:rPr>
            </w:pPr>
            <w:r>
              <w:rPr>
                <w:rFonts w:ascii="Arial Narrow" w:hAnsi="Arial Narrow"/>
                <w:lang w:val="hr-HR"/>
              </w:rPr>
              <w:t xml:space="preserve">Molimo vidjeti </w:t>
            </w:r>
            <w:r w:rsidR="00A6673D">
              <w:rPr>
                <w:rFonts w:ascii="Arial Narrow" w:hAnsi="Arial Narrow"/>
                <w:lang w:val="hr-HR"/>
              </w:rPr>
              <w:t xml:space="preserve">Upute za prijavitelje </w:t>
            </w:r>
            <w:r>
              <w:rPr>
                <w:rFonts w:ascii="Arial Narrow" w:hAnsi="Arial Narrow"/>
                <w:lang w:val="hr-HR"/>
              </w:rPr>
              <w:t xml:space="preserve">koje u </w:t>
            </w:r>
            <w:r w:rsidR="00A6673D">
              <w:rPr>
                <w:rFonts w:ascii="Arial Narrow" w:hAnsi="Arial Narrow"/>
                <w:lang w:val="hr-HR"/>
              </w:rPr>
              <w:t>točk</w:t>
            </w:r>
            <w:r>
              <w:rPr>
                <w:rFonts w:ascii="Arial Narrow" w:hAnsi="Arial Narrow"/>
                <w:lang w:val="hr-HR"/>
              </w:rPr>
              <w:t>i</w:t>
            </w:r>
            <w:r w:rsidR="00A6673D">
              <w:rPr>
                <w:rFonts w:ascii="Arial Narrow" w:hAnsi="Arial Narrow"/>
                <w:lang w:val="hr-HR"/>
              </w:rPr>
              <w:t xml:space="preserve"> </w:t>
            </w:r>
            <w:r w:rsidR="00A6673D" w:rsidRPr="00A6673D">
              <w:rPr>
                <w:rFonts w:ascii="Arial Narrow" w:hAnsi="Arial Narrow"/>
                <w:lang w:val="hr-HR"/>
              </w:rPr>
              <w:t>4.3.</w:t>
            </w:r>
            <w:r>
              <w:rPr>
                <w:rFonts w:ascii="Arial Narrow" w:hAnsi="Arial Narrow"/>
                <w:lang w:val="hr-HR"/>
              </w:rPr>
              <w:t xml:space="preserve"> definiraju prihvatljivost troškova u okviru ovog Poziva.</w:t>
            </w:r>
            <w:r w:rsidRPr="00E81F79">
              <w:rPr>
                <w:lang w:val="hr-HR"/>
              </w:rPr>
              <w:t xml:space="preserve"> </w:t>
            </w:r>
            <w:r w:rsidRPr="009F28FB">
              <w:rPr>
                <w:rFonts w:ascii="Arial Narrow" w:hAnsi="Arial Narrow"/>
                <w:lang w:val="hr-HR"/>
              </w:rPr>
              <w:t xml:space="preserve">Dodatno, prihvatljivi troškovi u odnosu na ciljeve projekta mogu biti izravni (neposredni) i neizravni (posredni) troškovi projekta. Upućujemo i na točku 4.3.1. Uputa za prijavitelje koja između ostalog navodi i sljedeće: </w:t>
            </w:r>
            <w:r w:rsidRPr="00DB1D26">
              <w:rPr>
                <w:rFonts w:ascii="Arial Narrow" w:hAnsi="Arial Narrow"/>
                <w:i/>
                <w:iCs/>
                <w:lang w:val="hr-HR"/>
              </w:rPr>
              <w:t>Kupnja strojeva, opreme i namještaja prihvatljiva je samo u slučaju da je utemeljena u projektnim aktivnostima i nužno potrebna za postizanje ciljeva projekta i to pod uvjetom da je kupljeno uključeno u registar osnovnih sredstava prijavitelja, odnosno projektnog partnera, i da se tretira kao osnovno sredstvo u skladu s općeprihvaćenim računovodstvenim standardima</w:t>
            </w:r>
            <w:r w:rsidRPr="009F28FB">
              <w:rPr>
                <w:rFonts w:ascii="Arial Narrow" w:hAnsi="Arial Narrow"/>
                <w:lang w:val="hr-HR"/>
              </w:rPr>
              <w:t xml:space="preserve">. </w:t>
            </w:r>
          </w:p>
          <w:p w14:paraId="6513AC73" w14:textId="77777777" w:rsidR="00A55069" w:rsidRPr="009F28FB" w:rsidRDefault="00A55069" w:rsidP="00A55069">
            <w:pPr>
              <w:jc w:val="both"/>
              <w:rPr>
                <w:rFonts w:ascii="Arial Narrow" w:hAnsi="Arial Narrow"/>
                <w:lang w:val="hr-HR"/>
              </w:rPr>
            </w:pPr>
          </w:p>
          <w:p w14:paraId="47FA7FB8" w14:textId="24217DEC" w:rsidR="009F28FB" w:rsidRPr="00DB2F74" w:rsidRDefault="009F28FB" w:rsidP="00DB1D26">
            <w:pPr>
              <w:jc w:val="both"/>
              <w:rPr>
                <w:lang w:val="hr-HR"/>
              </w:rPr>
            </w:pPr>
            <w:r w:rsidRPr="009F28FB">
              <w:rPr>
                <w:rFonts w:ascii="Arial Narrow" w:hAnsi="Arial Narrow"/>
                <w:lang w:val="hr-HR"/>
              </w:rPr>
              <w:t xml:space="preserve">Troškovi nabave opreme moraju biti neposredno </w:t>
            </w:r>
            <w:r w:rsidR="000B1F99">
              <w:rPr>
                <w:rFonts w:ascii="Arial Narrow" w:hAnsi="Arial Narrow"/>
                <w:lang w:val="hr-HR"/>
              </w:rPr>
              <w:t xml:space="preserve">povezani s provedbom </w:t>
            </w:r>
            <w:r w:rsidR="00973D58">
              <w:rPr>
                <w:rFonts w:ascii="Arial Narrow" w:hAnsi="Arial Narrow"/>
                <w:lang w:val="hr-HR"/>
              </w:rPr>
              <w:t xml:space="preserve">projektnih </w:t>
            </w:r>
            <w:r w:rsidR="000B1F99">
              <w:rPr>
                <w:rFonts w:ascii="Arial Narrow" w:hAnsi="Arial Narrow"/>
                <w:lang w:val="hr-HR"/>
              </w:rPr>
              <w:t xml:space="preserve">aktivnosti. </w:t>
            </w:r>
            <w:r w:rsidR="00973D58">
              <w:rPr>
                <w:rFonts w:ascii="Arial Narrow" w:hAnsi="Arial Narrow"/>
                <w:lang w:val="hr-HR"/>
              </w:rPr>
              <w:t xml:space="preserve">Sukladno točki 4.3.2 </w:t>
            </w:r>
            <w:r w:rsidR="00973D58" w:rsidRPr="009F28FB">
              <w:rPr>
                <w:rFonts w:ascii="Arial Narrow" w:hAnsi="Arial Narrow"/>
                <w:lang w:val="hr-HR"/>
              </w:rPr>
              <w:t>koja daje pregled osnovnih vrsta troškova koji su prihvatljivi u okviru poziva na dostavu projektnih prijedloga definira prihvatljive izravne i neizravne troškove</w:t>
            </w:r>
            <w:r w:rsidR="00973D58">
              <w:rPr>
                <w:rFonts w:ascii="Arial Narrow" w:hAnsi="Arial Narrow"/>
                <w:lang w:val="hr-HR"/>
              </w:rPr>
              <w:t>, pod točkom 4. jasno navodi nabavu namještaja i opreme potr</w:t>
            </w:r>
            <w:r w:rsidR="00023790">
              <w:rPr>
                <w:rFonts w:ascii="Arial Narrow" w:hAnsi="Arial Narrow"/>
                <w:lang w:val="hr-HR"/>
              </w:rPr>
              <w:t>ebne za provedbu studijskih pro</w:t>
            </w:r>
            <w:r w:rsidR="00973D58">
              <w:rPr>
                <w:rFonts w:ascii="Arial Narrow" w:hAnsi="Arial Narrow"/>
                <w:lang w:val="hr-HR"/>
              </w:rPr>
              <w:t>grama, izvođenje nastave i prakse, primjenu novih tehnologija u poučavanju</w:t>
            </w:r>
            <w:r w:rsidR="00973D58" w:rsidRPr="009F28FB">
              <w:rPr>
                <w:rFonts w:ascii="Arial Narrow" w:hAnsi="Arial Narrow"/>
                <w:lang w:val="hr-HR"/>
              </w:rPr>
              <w:t>.</w:t>
            </w:r>
            <w:r w:rsidR="00973D58" w:rsidRPr="00E81F79">
              <w:rPr>
                <w:lang w:val="hr-HR"/>
              </w:rPr>
              <w:t xml:space="preserve"> </w:t>
            </w:r>
            <w:r w:rsidRPr="009F28FB">
              <w:rPr>
                <w:rFonts w:ascii="Arial Narrow" w:hAnsi="Arial Narrow"/>
                <w:lang w:val="hr-HR"/>
              </w:rPr>
              <w:t>Troškovi kupnje strojeva, opreme i namještaja su prihvatljivi ukoliko ne premašuju vrijednost od 10% svih prihvatljivih troškova projekta i isti su nužni za njihovu provedbu i realizaciju.</w:t>
            </w:r>
            <w:r w:rsidRPr="00E81F79">
              <w:rPr>
                <w:lang w:val="hr-HR"/>
              </w:rPr>
              <w:t xml:space="preserve"> </w:t>
            </w:r>
            <w:r w:rsidRPr="009F28FB">
              <w:rPr>
                <w:rFonts w:ascii="Arial Narrow" w:hAnsi="Arial Narrow"/>
                <w:lang w:val="hr-HR"/>
              </w:rPr>
              <w:t xml:space="preserve">Amortizacija strojeva, opreme i namještaja kupljenih iz javnih sredstava je neprihvatljiv trošak. </w:t>
            </w:r>
          </w:p>
        </w:tc>
      </w:tr>
      <w:tr w:rsidR="0054579F" w:rsidRPr="00E81F79" w14:paraId="0C710514" w14:textId="77777777" w:rsidTr="00D6355E">
        <w:tc>
          <w:tcPr>
            <w:tcW w:w="4508" w:type="dxa"/>
          </w:tcPr>
          <w:p w14:paraId="2BE4CE8B" w14:textId="77777777" w:rsidR="0054579F" w:rsidRPr="00817E84" w:rsidRDefault="0054579F" w:rsidP="007F205B">
            <w:pPr>
              <w:pStyle w:val="ListParagraph"/>
              <w:numPr>
                <w:ilvl w:val="0"/>
                <w:numId w:val="4"/>
              </w:numPr>
              <w:jc w:val="both"/>
              <w:rPr>
                <w:rFonts w:ascii="Arial Narrow" w:hAnsi="Arial Narrow"/>
                <w:lang w:val="hr-HR"/>
              </w:rPr>
            </w:pPr>
            <w:r w:rsidRPr="00817E84">
              <w:rPr>
                <w:rFonts w:ascii="Arial Narrow" w:hAnsi="Arial Narrow"/>
                <w:lang w:val="hr-HR"/>
              </w:rPr>
              <w:lastRenderedPageBreak/>
              <w:t>Može li se uzeti  print screen sa web stranice Trgovačkog suda kao relevantni dokaz dokumentacije u prijavi (originali, kopije, print screenovi)?</w:t>
            </w:r>
          </w:p>
        </w:tc>
        <w:tc>
          <w:tcPr>
            <w:tcW w:w="4508" w:type="dxa"/>
          </w:tcPr>
          <w:p w14:paraId="08284879" w14:textId="261EBF7F" w:rsidR="0054579F" w:rsidRPr="00817E84" w:rsidRDefault="009F28FB" w:rsidP="009F28FB">
            <w:pPr>
              <w:jc w:val="both"/>
              <w:rPr>
                <w:rFonts w:ascii="Arial Narrow" w:hAnsi="Arial Narrow"/>
                <w:lang w:val="hr-HR"/>
              </w:rPr>
            </w:pPr>
            <w:r>
              <w:rPr>
                <w:rFonts w:ascii="Arial Narrow" w:hAnsi="Arial Narrow"/>
                <w:lang w:val="hr-HR"/>
              </w:rPr>
              <w:t xml:space="preserve">Točka  </w:t>
            </w:r>
            <w:r w:rsidRPr="00A6673D">
              <w:rPr>
                <w:rFonts w:ascii="Arial Narrow" w:hAnsi="Arial Narrow"/>
                <w:lang w:val="hr-HR"/>
              </w:rPr>
              <w:t>6.4</w:t>
            </w:r>
            <w:r w:rsidR="00CB25E8">
              <w:rPr>
                <w:rFonts w:ascii="Arial Narrow" w:hAnsi="Arial Narrow"/>
                <w:lang w:val="hr-HR"/>
              </w:rPr>
              <w:t>.</w:t>
            </w:r>
            <w:r>
              <w:rPr>
                <w:rFonts w:ascii="Arial Narrow" w:hAnsi="Arial Narrow"/>
                <w:lang w:val="hr-HR"/>
              </w:rPr>
              <w:t xml:space="preserve"> </w:t>
            </w:r>
            <w:r w:rsidR="0054579F">
              <w:rPr>
                <w:rFonts w:ascii="Arial Narrow" w:hAnsi="Arial Narrow"/>
                <w:lang w:val="hr-HR"/>
              </w:rPr>
              <w:t>Uput</w:t>
            </w:r>
            <w:r>
              <w:rPr>
                <w:rFonts w:ascii="Arial Narrow" w:hAnsi="Arial Narrow"/>
                <w:lang w:val="hr-HR"/>
              </w:rPr>
              <w:t>a</w:t>
            </w:r>
            <w:r w:rsidR="0054579F">
              <w:rPr>
                <w:rFonts w:ascii="Arial Narrow" w:hAnsi="Arial Narrow"/>
                <w:lang w:val="hr-HR"/>
              </w:rPr>
              <w:t xml:space="preserve"> za prijavitelje</w:t>
            </w:r>
            <w:r>
              <w:rPr>
                <w:rFonts w:ascii="Arial Narrow" w:hAnsi="Arial Narrow"/>
                <w:lang w:val="hr-HR"/>
              </w:rPr>
              <w:t xml:space="preserve"> izmijenjenog poziva na dostavu projektnih prijedloga od 8. kolovoza 2014. godine navodi popis </w:t>
            </w:r>
            <w:r w:rsidRPr="009F28FB">
              <w:rPr>
                <w:rFonts w:ascii="Arial Narrow" w:hAnsi="Arial Narrow"/>
                <w:lang w:val="hr-HR"/>
              </w:rPr>
              <w:t>dokazne dokumenta</w:t>
            </w:r>
            <w:r>
              <w:rPr>
                <w:rFonts w:ascii="Arial Narrow" w:hAnsi="Arial Narrow"/>
                <w:lang w:val="hr-HR"/>
              </w:rPr>
              <w:t>cije za prijavitelje/partnere.</w:t>
            </w:r>
            <w:r w:rsidRPr="009F28FB">
              <w:rPr>
                <w:rFonts w:ascii="Arial Narrow" w:hAnsi="Arial Narrow"/>
                <w:lang w:val="hr-HR"/>
              </w:rPr>
              <w:t xml:space="preserve"> Agencija za strukovno obrazovanje i obrazovanje odraslih, Organizacijska jedinica za upravljanje strukturnim instrumentima od prijavitelja može zahtijevati dodatna pojašnjenja, odnosno originale i/ili ovjerene preslike tražene popratne dokumentacije. U slučaju da se traženo ne dostavi u roku navedenom u zahtjevu za dostavu popratnih dokumenata, projektni  prijedlog se isključuje iz daljnje procedure</w:t>
            </w:r>
            <w:r>
              <w:rPr>
                <w:rFonts w:ascii="Arial Narrow" w:hAnsi="Arial Narrow"/>
                <w:lang w:val="hr-HR"/>
              </w:rPr>
              <w:t>.</w:t>
            </w:r>
          </w:p>
        </w:tc>
      </w:tr>
      <w:tr w:rsidR="0054579F" w:rsidRPr="00817E84" w14:paraId="588A5E9C" w14:textId="77777777" w:rsidTr="00E81F79">
        <w:tc>
          <w:tcPr>
            <w:tcW w:w="9016" w:type="dxa"/>
            <w:gridSpan w:val="2"/>
          </w:tcPr>
          <w:p w14:paraId="24291EAB" w14:textId="77777777" w:rsidR="0054579F" w:rsidRPr="00817E84" w:rsidRDefault="0054579F" w:rsidP="0054579F">
            <w:pPr>
              <w:jc w:val="center"/>
              <w:rPr>
                <w:rFonts w:ascii="Arial Narrow" w:hAnsi="Arial Narrow"/>
                <w:b/>
                <w:lang w:val="hr-HR"/>
              </w:rPr>
            </w:pPr>
            <w:r w:rsidRPr="00817E84">
              <w:rPr>
                <w:rFonts w:ascii="Arial Narrow" w:hAnsi="Arial Narrow"/>
                <w:b/>
                <w:lang w:val="hr-HR"/>
              </w:rPr>
              <w:t>Bodovanje u evaluaciji; Upute za prijavitelje; točka 6.3 ; Kriteriji</w:t>
            </w:r>
          </w:p>
        </w:tc>
      </w:tr>
      <w:tr w:rsidR="0054579F" w:rsidRPr="00E81F79" w14:paraId="103DA7C2" w14:textId="77777777" w:rsidTr="00D6355E">
        <w:tc>
          <w:tcPr>
            <w:tcW w:w="4508" w:type="dxa"/>
          </w:tcPr>
          <w:p w14:paraId="4F5C745E" w14:textId="77777777" w:rsidR="0054579F" w:rsidRPr="00817E84" w:rsidRDefault="0054579F" w:rsidP="007F205B">
            <w:pPr>
              <w:pStyle w:val="ListParagraph"/>
              <w:numPr>
                <w:ilvl w:val="0"/>
                <w:numId w:val="4"/>
              </w:numPr>
              <w:jc w:val="both"/>
              <w:rPr>
                <w:rFonts w:ascii="Arial Narrow" w:hAnsi="Arial Narrow"/>
                <w:lang w:val="hr-HR"/>
              </w:rPr>
            </w:pPr>
            <w:r w:rsidRPr="00817E84">
              <w:rPr>
                <w:rFonts w:ascii="Arial Narrow" w:hAnsi="Arial Narrow"/>
                <w:lang w:val="hr-HR"/>
              </w:rPr>
              <w:t>Kako mogu napraviti projekt sukladno traženim podlogama/kriterijima kada  će određeni strateški dokumenti i nacrti sa tog područja biti poznati tek u jesen a nakon 19.09.2014.?</w:t>
            </w:r>
          </w:p>
        </w:tc>
        <w:tc>
          <w:tcPr>
            <w:tcW w:w="4508" w:type="dxa"/>
          </w:tcPr>
          <w:p w14:paraId="28E910FE" w14:textId="4E62BA86" w:rsidR="0054579F" w:rsidRPr="00817E84" w:rsidRDefault="00421BA8" w:rsidP="009F28FB">
            <w:pPr>
              <w:jc w:val="both"/>
              <w:rPr>
                <w:rFonts w:ascii="Arial Narrow" w:hAnsi="Arial Narrow"/>
                <w:lang w:val="hr-HR"/>
              </w:rPr>
            </w:pPr>
            <w:r>
              <w:rPr>
                <w:rFonts w:ascii="Arial Narrow" w:hAnsi="Arial Narrow"/>
                <w:lang w:val="hr-HR"/>
              </w:rPr>
              <w:t xml:space="preserve">U Uputama za prijavitelje, poglavlje  </w:t>
            </w:r>
            <w:r w:rsidRPr="00421BA8">
              <w:rPr>
                <w:rFonts w:ascii="Arial Narrow" w:hAnsi="Arial Narrow"/>
                <w:lang w:val="hr-HR"/>
              </w:rPr>
              <w:t>2. Predmet poziva i opće informacije</w:t>
            </w:r>
            <w:r>
              <w:rPr>
                <w:rFonts w:ascii="Arial Narrow" w:hAnsi="Arial Narrow"/>
                <w:lang w:val="hr-HR"/>
              </w:rPr>
              <w:t xml:space="preserve"> te </w:t>
            </w:r>
            <w:r w:rsidRPr="00421BA8">
              <w:rPr>
                <w:rFonts w:ascii="Arial Narrow" w:hAnsi="Arial Narrow"/>
                <w:lang w:val="hr-HR"/>
              </w:rPr>
              <w:t>2.2. Zakonodavni okvir</w:t>
            </w:r>
            <w:r>
              <w:rPr>
                <w:rFonts w:ascii="Arial Narrow" w:hAnsi="Arial Narrow"/>
                <w:lang w:val="hr-HR"/>
              </w:rPr>
              <w:t xml:space="preserve">, jasno je navedeno uporište za izradu projektnih prijedloga u okviru ovoga Poziva. Poziv je objavljen sukladno svim pravilima provedbe projekata financiranih iz ESF-a. Podsjećamo da Republika Hrvatska (MZOS) na nacionalnoj razini s 15% sredstava sufinancira sve projekte koji će biti izrađeni i odabrani po objavi natječaja temeljem Operativnoga programa </w:t>
            </w:r>
            <w:r w:rsidR="009F28FB">
              <w:rPr>
                <w:rFonts w:ascii="Arial Narrow" w:hAnsi="Arial Narrow"/>
                <w:lang w:val="hr-HR"/>
              </w:rPr>
              <w:t xml:space="preserve">Razvoj ljudskih potencijala </w:t>
            </w:r>
            <w:r>
              <w:rPr>
                <w:rFonts w:ascii="Arial Narrow" w:hAnsi="Arial Narrow"/>
                <w:lang w:val="hr-HR"/>
              </w:rPr>
              <w:t>navedenog u poglavlju 2</w:t>
            </w:r>
            <w:r w:rsidR="006C1A8F">
              <w:rPr>
                <w:rFonts w:ascii="Arial Narrow" w:hAnsi="Arial Narrow"/>
                <w:lang w:val="hr-HR"/>
              </w:rPr>
              <w:t xml:space="preserve"> Uputa za prijavitelje</w:t>
            </w:r>
            <w:r>
              <w:rPr>
                <w:rFonts w:ascii="Arial Narrow" w:hAnsi="Arial Narrow"/>
                <w:lang w:val="hr-HR"/>
              </w:rPr>
              <w:t xml:space="preserve"> ovoga Poziva</w:t>
            </w:r>
            <w:r w:rsidR="00A6673D">
              <w:rPr>
                <w:rFonts w:ascii="Arial Narrow" w:hAnsi="Arial Narrow"/>
                <w:lang w:val="hr-HR"/>
              </w:rPr>
              <w:t>.</w:t>
            </w:r>
            <w:r w:rsidR="00F464B0">
              <w:rPr>
                <w:rFonts w:ascii="Arial Narrow" w:hAnsi="Arial Narrow"/>
                <w:lang w:val="hr-HR"/>
              </w:rPr>
              <w:t xml:space="preserve"> U projektnoj prijavi izrađuje se prijedlog projektnih aktivnosti koje se sadržajno, u kasnijoj provedbi, mogu temeljiti na raspoloživim strateškim dokumentima i analitičkim podlogama.</w:t>
            </w:r>
          </w:p>
        </w:tc>
      </w:tr>
      <w:tr w:rsidR="001C6AFF" w:rsidRPr="00E81F79" w14:paraId="445224D0" w14:textId="77777777" w:rsidTr="00D6355E">
        <w:tc>
          <w:tcPr>
            <w:tcW w:w="4508" w:type="dxa"/>
          </w:tcPr>
          <w:p w14:paraId="443F51B9" w14:textId="1DC0BC36" w:rsidR="001C6AFF" w:rsidRPr="00817E84" w:rsidRDefault="001C6AFF" w:rsidP="00421BA8">
            <w:pPr>
              <w:pStyle w:val="ListParagraph"/>
              <w:numPr>
                <w:ilvl w:val="0"/>
                <w:numId w:val="4"/>
              </w:numPr>
              <w:jc w:val="both"/>
              <w:rPr>
                <w:rFonts w:ascii="Arial Narrow" w:hAnsi="Arial Narrow"/>
                <w:lang w:val="hr-HR"/>
              </w:rPr>
            </w:pPr>
            <w:r w:rsidRPr="001C6AFF">
              <w:rPr>
                <w:rFonts w:ascii="Arial Narrow" w:hAnsi="Arial Narrow"/>
                <w:lang w:val="hr-HR"/>
              </w:rPr>
              <w:t xml:space="preserve">Utječe li broj partnera </w:t>
            </w:r>
            <w:r w:rsidR="00421BA8">
              <w:rPr>
                <w:rFonts w:ascii="Arial Narrow" w:hAnsi="Arial Narrow"/>
                <w:lang w:val="hr-HR"/>
              </w:rPr>
              <w:t xml:space="preserve">na rezultat </w:t>
            </w:r>
            <w:r w:rsidR="00421BA8" w:rsidRPr="001C6AFF">
              <w:rPr>
                <w:rFonts w:ascii="Arial Narrow" w:hAnsi="Arial Narrow"/>
                <w:lang w:val="hr-HR"/>
              </w:rPr>
              <w:t xml:space="preserve"> </w:t>
            </w:r>
            <w:r w:rsidR="00421BA8">
              <w:rPr>
                <w:rFonts w:ascii="Arial Narrow" w:hAnsi="Arial Narrow"/>
                <w:lang w:val="hr-HR"/>
              </w:rPr>
              <w:t xml:space="preserve"> </w:t>
            </w:r>
            <w:r w:rsidR="00421BA8" w:rsidRPr="001C6AFF">
              <w:rPr>
                <w:rFonts w:ascii="Arial Narrow" w:hAnsi="Arial Narrow"/>
                <w:lang w:val="hr-HR"/>
              </w:rPr>
              <w:t>vrednovanj</w:t>
            </w:r>
            <w:r w:rsidR="00421BA8">
              <w:rPr>
                <w:rFonts w:ascii="Arial Narrow" w:hAnsi="Arial Narrow"/>
                <w:lang w:val="hr-HR"/>
              </w:rPr>
              <w:t>a</w:t>
            </w:r>
            <w:r w:rsidRPr="001C6AFF">
              <w:rPr>
                <w:rFonts w:ascii="Arial Narrow" w:hAnsi="Arial Narrow"/>
                <w:lang w:val="hr-HR"/>
              </w:rPr>
              <w:t>?</w:t>
            </w:r>
          </w:p>
        </w:tc>
        <w:tc>
          <w:tcPr>
            <w:tcW w:w="4508" w:type="dxa"/>
          </w:tcPr>
          <w:p w14:paraId="4C2F0EA8" w14:textId="0F8F04B0" w:rsidR="0044715D" w:rsidRPr="00817E84" w:rsidRDefault="0044715D" w:rsidP="009F28FB">
            <w:pPr>
              <w:jc w:val="both"/>
              <w:rPr>
                <w:rFonts w:ascii="Arial Narrow" w:hAnsi="Arial Narrow"/>
                <w:lang w:val="hr-HR"/>
              </w:rPr>
            </w:pPr>
            <w:r>
              <w:rPr>
                <w:rFonts w:ascii="Arial Narrow" w:hAnsi="Arial Narrow"/>
                <w:lang w:val="hr-HR"/>
              </w:rPr>
              <w:t xml:space="preserve">U poglavlju 6.3. Uputa za prijavitelje detaljno je opisano kako i koji segmenti projektne prijave se boduju. Sukladno tome, projektni kapaciteti partnera i prijavitelja mogu pojedinoj projektnoj prijavi </w:t>
            </w:r>
            <w:r w:rsidR="005D3A76">
              <w:rPr>
                <w:rFonts w:ascii="Arial Narrow" w:hAnsi="Arial Narrow"/>
                <w:lang w:val="hr-HR"/>
              </w:rPr>
              <w:t>donijeti</w:t>
            </w:r>
            <w:r>
              <w:rPr>
                <w:rFonts w:ascii="Arial Narrow" w:hAnsi="Arial Narrow"/>
                <w:lang w:val="hr-HR"/>
              </w:rPr>
              <w:t xml:space="preserve"> maksimalnih 15 bodova ovisno o kriterijima navedenim u tablici (str. 26/27)</w:t>
            </w:r>
            <w:r w:rsidR="005D3A76">
              <w:rPr>
                <w:rFonts w:ascii="Arial Narrow" w:hAnsi="Arial Narrow"/>
                <w:lang w:val="hr-HR"/>
              </w:rPr>
              <w:t xml:space="preserve">. </w:t>
            </w:r>
          </w:p>
        </w:tc>
      </w:tr>
      <w:tr w:rsidR="0054579F" w:rsidRPr="00E81F79" w14:paraId="6ACCCDF8" w14:textId="77777777" w:rsidTr="00D6355E">
        <w:tc>
          <w:tcPr>
            <w:tcW w:w="4508" w:type="dxa"/>
          </w:tcPr>
          <w:p w14:paraId="0BF2BF6F" w14:textId="4FF1EFF2" w:rsidR="0054579F" w:rsidRPr="006C5B14" w:rsidRDefault="0054579F" w:rsidP="006C5B14">
            <w:pPr>
              <w:pStyle w:val="ListParagraph"/>
              <w:numPr>
                <w:ilvl w:val="0"/>
                <w:numId w:val="4"/>
              </w:numPr>
              <w:jc w:val="both"/>
              <w:rPr>
                <w:rFonts w:ascii="Arial Narrow" w:hAnsi="Arial Narrow"/>
                <w:lang w:val="hr-HR"/>
              </w:rPr>
            </w:pPr>
            <w:r w:rsidRPr="00817E84">
              <w:rPr>
                <w:rFonts w:ascii="Arial Narrow" w:hAnsi="Arial Narrow"/>
                <w:lang w:val="hr-HR"/>
              </w:rPr>
              <w:t xml:space="preserve">Hoće li pri vrednovanju </w:t>
            </w:r>
            <w:r w:rsidR="000B4315">
              <w:rPr>
                <w:rFonts w:ascii="Arial Narrow" w:hAnsi="Arial Narrow"/>
                <w:lang w:val="hr-HR"/>
              </w:rPr>
              <w:t>/</w:t>
            </w:r>
            <w:r w:rsidRPr="00817E84">
              <w:rPr>
                <w:rFonts w:ascii="Arial Narrow" w:hAnsi="Arial Narrow"/>
                <w:lang w:val="hr-HR"/>
              </w:rPr>
              <w:t xml:space="preserve">evaluaciji imati utjecaja kako su </w:t>
            </w:r>
            <w:r w:rsidR="000B4315" w:rsidRPr="00817E84">
              <w:rPr>
                <w:rFonts w:ascii="Arial Narrow" w:hAnsi="Arial Narrow"/>
                <w:lang w:val="hr-HR"/>
              </w:rPr>
              <w:t>raspore</w:t>
            </w:r>
            <w:r w:rsidR="000B4315">
              <w:rPr>
                <w:rFonts w:ascii="Arial Narrow" w:hAnsi="Arial Narrow"/>
                <w:lang w:val="hr-HR"/>
              </w:rPr>
              <w:t>đeni</w:t>
            </w:r>
            <w:r w:rsidR="000B4315" w:rsidRPr="00817E84">
              <w:rPr>
                <w:rFonts w:ascii="Arial Narrow" w:hAnsi="Arial Narrow"/>
                <w:lang w:val="hr-HR"/>
              </w:rPr>
              <w:t xml:space="preserve"> </w:t>
            </w:r>
            <w:r w:rsidR="00421BA8" w:rsidRPr="00817E84">
              <w:rPr>
                <w:rFonts w:ascii="Arial Narrow" w:hAnsi="Arial Narrow"/>
                <w:lang w:val="hr-HR"/>
              </w:rPr>
              <w:t>troškov</w:t>
            </w:r>
            <w:r w:rsidR="00421BA8">
              <w:rPr>
                <w:rFonts w:ascii="Arial Narrow" w:hAnsi="Arial Narrow"/>
                <w:lang w:val="hr-HR"/>
              </w:rPr>
              <w:t>i</w:t>
            </w:r>
            <w:r w:rsidR="00421BA8" w:rsidRPr="00817E84">
              <w:rPr>
                <w:rFonts w:ascii="Arial Narrow" w:hAnsi="Arial Narrow"/>
                <w:lang w:val="hr-HR"/>
              </w:rPr>
              <w:t xml:space="preserve"> </w:t>
            </w:r>
            <w:r w:rsidRPr="00817E84">
              <w:rPr>
                <w:rFonts w:ascii="Arial Narrow" w:hAnsi="Arial Narrow"/>
                <w:lang w:val="hr-HR"/>
              </w:rPr>
              <w:t>u budžetu?</w:t>
            </w:r>
            <w:r w:rsidR="006C5B14">
              <w:rPr>
                <w:rFonts w:ascii="Arial Narrow" w:hAnsi="Arial Narrow"/>
                <w:lang w:val="hr-HR"/>
              </w:rPr>
              <w:t xml:space="preserve"> </w:t>
            </w:r>
            <w:r w:rsidRPr="006C5B14">
              <w:rPr>
                <w:rFonts w:ascii="Arial Narrow" w:hAnsi="Arial Narrow"/>
                <w:lang w:val="hr-HR"/>
              </w:rPr>
              <w:t>(razrada na izravne i neizravne troškove te u svakoj grupi prema projektnim elementima?)</w:t>
            </w:r>
          </w:p>
        </w:tc>
        <w:tc>
          <w:tcPr>
            <w:tcW w:w="4508" w:type="dxa"/>
          </w:tcPr>
          <w:p w14:paraId="7AA6C47C" w14:textId="7A8CFCA7" w:rsidR="00425F89" w:rsidRPr="00817E84" w:rsidRDefault="000B4315" w:rsidP="009F28FB">
            <w:pPr>
              <w:jc w:val="both"/>
              <w:rPr>
                <w:rFonts w:ascii="Arial Narrow" w:hAnsi="Arial Narrow"/>
                <w:lang w:val="hr-HR"/>
              </w:rPr>
            </w:pPr>
            <w:r w:rsidRPr="000B4315">
              <w:rPr>
                <w:rFonts w:ascii="Arial Narrow" w:hAnsi="Arial Narrow"/>
                <w:lang w:val="hr-HR"/>
              </w:rPr>
              <w:t>U poglavlju 6.3. Uputa za prijavitelje detaljno je opisano kako i koji segmenti projektne prijave se boduju</w:t>
            </w:r>
            <w:r w:rsidR="00425F89">
              <w:rPr>
                <w:rFonts w:ascii="Arial Narrow" w:hAnsi="Arial Narrow"/>
                <w:lang w:val="hr-HR"/>
              </w:rPr>
              <w:t xml:space="preserve">. Tako je u točki </w:t>
            </w:r>
            <w:r w:rsidR="00425F89" w:rsidRPr="00425F89">
              <w:rPr>
                <w:rFonts w:ascii="Arial Narrow" w:hAnsi="Arial Narrow"/>
                <w:lang w:val="hr-HR"/>
              </w:rPr>
              <w:t xml:space="preserve">5. Proračun i </w:t>
            </w:r>
            <w:r w:rsidR="00425F89">
              <w:rPr>
                <w:rFonts w:ascii="Arial Narrow" w:hAnsi="Arial Narrow"/>
                <w:lang w:val="hr-HR"/>
              </w:rPr>
              <w:t xml:space="preserve">ekonomska isplativost projekta razvidno bodovanje dijela projektne prijave vezane uz razradu troškova sukladno Prijavnom obrascu A koji svojim sadržajem prijavitelja jasno vodi u definiranje vrste troškova te njihovo planiranje.  </w:t>
            </w:r>
          </w:p>
        </w:tc>
      </w:tr>
      <w:tr w:rsidR="0054579F" w:rsidRPr="00E81F79" w14:paraId="5FC778D5" w14:textId="77777777" w:rsidTr="00D6355E">
        <w:tc>
          <w:tcPr>
            <w:tcW w:w="4508" w:type="dxa"/>
          </w:tcPr>
          <w:p w14:paraId="0BFF6BFF" w14:textId="7146D3D2" w:rsidR="0054579F" w:rsidRPr="00FF7996" w:rsidRDefault="0054579F" w:rsidP="007F205B">
            <w:pPr>
              <w:pStyle w:val="ListParagraph"/>
              <w:numPr>
                <w:ilvl w:val="0"/>
                <w:numId w:val="4"/>
              </w:numPr>
              <w:jc w:val="both"/>
              <w:rPr>
                <w:rFonts w:ascii="Arial Narrow" w:hAnsi="Arial Narrow"/>
                <w:lang w:val="hr-HR"/>
              </w:rPr>
            </w:pPr>
            <w:r w:rsidRPr="00FF7996">
              <w:rPr>
                <w:rFonts w:ascii="Arial Narrow" w:hAnsi="Arial Narrow"/>
                <w:lang w:val="hr-HR"/>
              </w:rPr>
              <w:t>Moraju li se studijski programi / kurikulumi razvijati isključivo za</w:t>
            </w:r>
            <w:r w:rsidR="00EF1271">
              <w:rPr>
                <w:rFonts w:ascii="Arial Narrow" w:hAnsi="Arial Narrow"/>
                <w:lang w:val="hr-HR"/>
              </w:rPr>
              <w:t xml:space="preserve"> studente ili se mogu razvijati </w:t>
            </w:r>
            <w:r w:rsidRPr="00FF7996">
              <w:rPr>
                <w:rFonts w:ascii="Arial Narrow" w:hAnsi="Arial Narrow"/>
                <w:lang w:val="hr-HR"/>
              </w:rPr>
              <w:t>kurikulumi/programi za usavršavanje nastavnika (da program ne sadrži razvoj kurikuluma za studente već samo za nastavnike)?</w:t>
            </w:r>
          </w:p>
        </w:tc>
        <w:tc>
          <w:tcPr>
            <w:tcW w:w="4508" w:type="dxa"/>
          </w:tcPr>
          <w:p w14:paraId="60DED613" w14:textId="28E587E2" w:rsidR="0054579F" w:rsidRPr="00817E84" w:rsidRDefault="000B4315" w:rsidP="00283C60">
            <w:pPr>
              <w:jc w:val="both"/>
              <w:rPr>
                <w:rFonts w:ascii="Arial Narrow" w:hAnsi="Arial Narrow"/>
                <w:lang w:val="hr-HR"/>
              </w:rPr>
            </w:pPr>
            <w:r>
              <w:rPr>
                <w:rFonts w:ascii="Arial Narrow" w:hAnsi="Arial Narrow"/>
                <w:lang w:val="hr-HR"/>
              </w:rPr>
              <w:t xml:space="preserve">U Uputama za prijavitelje </w:t>
            </w:r>
            <w:r w:rsidR="00EA4E4F">
              <w:rPr>
                <w:rFonts w:ascii="Arial Narrow" w:hAnsi="Arial Narrow"/>
                <w:lang w:val="hr-HR"/>
              </w:rPr>
              <w:t>izmijenjenog poziva</w:t>
            </w:r>
            <w:r w:rsidR="00A021F3">
              <w:rPr>
                <w:rFonts w:ascii="Arial Narrow" w:hAnsi="Arial Narrow"/>
                <w:lang w:val="hr-HR"/>
              </w:rPr>
              <w:t xml:space="preserve"> od 8. kolovoza 2014.</w:t>
            </w:r>
            <w:r w:rsidR="00EA4E4F">
              <w:rPr>
                <w:rFonts w:ascii="Arial Narrow" w:hAnsi="Arial Narrow"/>
                <w:lang w:val="hr-HR"/>
              </w:rPr>
              <w:t xml:space="preserve">, </w:t>
            </w:r>
            <w:r>
              <w:rPr>
                <w:rFonts w:ascii="Arial Narrow" w:hAnsi="Arial Narrow"/>
                <w:lang w:val="hr-HR"/>
              </w:rPr>
              <w:t xml:space="preserve">uz opće i specifične ciljeve, u točki </w:t>
            </w:r>
            <w:r w:rsidRPr="000B4315">
              <w:rPr>
                <w:rFonts w:ascii="Arial Narrow" w:hAnsi="Arial Narrow"/>
                <w:lang w:val="hr-HR"/>
              </w:rPr>
              <w:t>4.2.3. Prihvatljive aktivnosti</w:t>
            </w:r>
            <w:r w:rsidR="00EA4E4F">
              <w:rPr>
                <w:rFonts w:ascii="Arial Narrow" w:hAnsi="Arial Narrow"/>
                <w:lang w:val="hr-HR"/>
              </w:rPr>
              <w:t>,</w:t>
            </w:r>
            <w:r w:rsidRPr="000B4315">
              <w:rPr>
                <w:rFonts w:ascii="Arial Narrow" w:hAnsi="Arial Narrow"/>
                <w:lang w:val="hr-HR"/>
              </w:rPr>
              <w:t xml:space="preserve"> </w:t>
            </w:r>
            <w:r>
              <w:rPr>
                <w:rFonts w:ascii="Arial Narrow" w:hAnsi="Arial Narrow"/>
                <w:lang w:val="hr-HR"/>
              </w:rPr>
              <w:t xml:space="preserve">nalazi se popis obveznih te neobveznih prihvatljivih aktivnosti među kojima </w:t>
            </w:r>
            <w:r w:rsidR="00F464B0">
              <w:rPr>
                <w:rFonts w:ascii="Arial Narrow" w:hAnsi="Arial Narrow"/>
                <w:lang w:val="hr-HR"/>
              </w:rPr>
              <w:t>se nalaze i obavezna aktivnost izrade standarda djelomičnih i cjelovitih kvalifikacija te neobavezne aktivnosti razvoja i/ili provedbe različitih programa stručnog i kontinuiranog usavršavanja poučavatelja (nastavnika)</w:t>
            </w:r>
            <w:r>
              <w:rPr>
                <w:rFonts w:ascii="Arial Narrow" w:hAnsi="Arial Narrow"/>
                <w:lang w:val="hr-HR"/>
              </w:rPr>
              <w:t>.</w:t>
            </w:r>
            <w:r w:rsidR="004F32CB">
              <w:rPr>
                <w:rFonts w:ascii="Arial Narrow" w:hAnsi="Arial Narrow"/>
                <w:lang w:val="hr-HR"/>
              </w:rPr>
              <w:t xml:space="preserve"> </w:t>
            </w:r>
            <w:r>
              <w:rPr>
                <w:rFonts w:ascii="Arial Narrow" w:hAnsi="Arial Narrow"/>
                <w:lang w:val="hr-HR"/>
              </w:rPr>
              <w:t xml:space="preserve"> </w:t>
            </w:r>
          </w:p>
        </w:tc>
      </w:tr>
      <w:tr w:rsidR="0054579F" w:rsidRPr="00817E84" w14:paraId="3DF2B536" w14:textId="77777777" w:rsidTr="004A51F3">
        <w:trPr>
          <w:trHeight w:val="2259"/>
        </w:trPr>
        <w:tc>
          <w:tcPr>
            <w:tcW w:w="4508" w:type="dxa"/>
          </w:tcPr>
          <w:p w14:paraId="02736CBB" w14:textId="7FEBB9DD" w:rsidR="0054579F" w:rsidRPr="00FF7996" w:rsidRDefault="0054579F" w:rsidP="007F205B">
            <w:pPr>
              <w:pStyle w:val="ListParagraph"/>
              <w:numPr>
                <w:ilvl w:val="0"/>
                <w:numId w:val="4"/>
              </w:numPr>
              <w:jc w:val="both"/>
              <w:rPr>
                <w:rFonts w:ascii="Arial Narrow" w:hAnsi="Arial Narrow"/>
                <w:lang w:val="hr-HR"/>
              </w:rPr>
            </w:pPr>
            <w:r>
              <w:rPr>
                <w:rFonts w:ascii="Arial Narrow" w:hAnsi="Arial Narrow"/>
                <w:lang w:val="hr-HR"/>
              </w:rPr>
              <w:lastRenderedPageBreak/>
              <w:t>U</w:t>
            </w:r>
            <w:r w:rsidRPr="00FF7996">
              <w:rPr>
                <w:rFonts w:ascii="Arial Narrow" w:hAnsi="Arial Narrow"/>
                <w:lang w:val="hr-HR"/>
              </w:rPr>
              <w:t>koliko sva sredstva ovim natječajem neće biti podijeljena, da li će nepodijeljena sredstva biti i dalje dostupna? Naime, nešto u tom smislu je rečeno pred kraj radionice pa bih željela to provjeriti.</w:t>
            </w:r>
          </w:p>
        </w:tc>
        <w:tc>
          <w:tcPr>
            <w:tcW w:w="4508" w:type="dxa"/>
          </w:tcPr>
          <w:p w14:paraId="4980BB75" w14:textId="77777777" w:rsidR="0054579F" w:rsidRDefault="0006167F" w:rsidP="0006167F">
            <w:pPr>
              <w:rPr>
                <w:rFonts w:ascii="Arial Narrow" w:hAnsi="Arial Narrow"/>
                <w:lang w:val="hr-HR"/>
              </w:rPr>
            </w:pPr>
            <w:r>
              <w:rPr>
                <w:rFonts w:ascii="Arial Narrow" w:hAnsi="Arial Narrow"/>
                <w:lang w:val="hr-HR"/>
              </w:rPr>
              <w:t>Upute za prijavitelje u poglavlju 6.5. navode sljedeće:</w:t>
            </w:r>
          </w:p>
          <w:p w14:paraId="30D7AC1A" w14:textId="77777777" w:rsidR="0006167F" w:rsidRDefault="0006167F" w:rsidP="0006167F">
            <w:pPr>
              <w:jc w:val="both"/>
              <w:rPr>
                <w:rFonts w:ascii="Arial Narrow" w:hAnsi="Arial Narrow"/>
                <w:lang w:val="hr-HR"/>
              </w:rPr>
            </w:pPr>
            <w:r w:rsidRPr="0006167F">
              <w:rPr>
                <w:rFonts w:ascii="Arial Narrow" w:hAnsi="Arial Narrow"/>
                <w:lang w:val="hr-HR"/>
              </w:rPr>
              <w:t>U slučaju da raspoloživa financijska sredstva nisu u potpunosti iscrpljena, no preostala sredstva nisu dostatna za financiranje utvrđenog iznosa pr</w:t>
            </w:r>
            <w:r>
              <w:rPr>
                <w:rFonts w:ascii="Arial Narrow" w:hAnsi="Arial Narrow"/>
                <w:lang w:val="hr-HR"/>
              </w:rPr>
              <w:t xml:space="preserve">ihvatljivih troškova sljedećeg </w:t>
            </w:r>
            <w:r w:rsidRPr="0006167F">
              <w:rPr>
                <w:rFonts w:ascii="Arial Narrow" w:hAnsi="Arial Narrow"/>
                <w:lang w:val="hr-HR"/>
              </w:rPr>
              <w:t>projekta na popisu rangiranih projektnih prijedloga Odbora z</w:t>
            </w:r>
            <w:r>
              <w:rPr>
                <w:rFonts w:ascii="Arial Narrow" w:hAnsi="Arial Narrow"/>
                <w:lang w:val="hr-HR"/>
              </w:rPr>
              <w:t xml:space="preserve">a odabir, prijavitelju će biti </w:t>
            </w:r>
            <w:r w:rsidRPr="0006167F">
              <w:rPr>
                <w:rFonts w:ascii="Arial Narrow" w:hAnsi="Arial Narrow"/>
                <w:lang w:val="hr-HR"/>
              </w:rPr>
              <w:t>ponuđeno da osigura vlastito sufinanciranje projekta kako bi se premostio manjak sredstava.</w:t>
            </w:r>
          </w:p>
          <w:p w14:paraId="211F043F" w14:textId="3F3A8539" w:rsidR="0006167F" w:rsidRPr="00817E84" w:rsidRDefault="0006167F" w:rsidP="0006167F">
            <w:pPr>
              <w:jc w:val="both"/>
              <w:rPr>
                <w:rFonts w:ascii="Arial Narrow" w:hAnsi="Arial Narrow"/>
                <w:lang w:val="hr-HR"/>
              </w:rPr>
            </w:pPr>
            <w:r>
              <w:rPr>
                <w:rFonts w:ascii="Arial Narrow" w:hAnsi="Arial Narrow"/>
                <w:lang w:val="hr-HR"/>
              </w:rPr>
              <w:t xml:space="preserve">Ministarstvo znanosti, </w:t>
            </w:r>
            <w:r w:rsidRPr="0006167F">
              <w:rPr>
                <w:rFonts w:ascii="Arial Narrow" w:hAnsi="Arial Narrow"/>
                <w:lang w:val="hr-HR"/>
              </w:rPr>
              <w:t>obrazovanja i sporta zadržava pravo ne dodijeliti sva dostupna sredstva.</w:t>
            </w:r>
          </w:p>
        </w:tc>
      </w:tr>
      <w:tr w:rsidR="006C5B14" w:rsidRPr="00E81F79" w14:paraId="5CCD65A1" w14:textId="77777777" w:rsidTr="004A51F3">
        <w:trPr>
          <w:trHeight w:val="2259"/>
        </w:trPr>
        <w:tc>
          <w:tcPr>
            <w:tcW w:w="4508" w:type="dxa"/>
          </w:tcPr>
          <w:p w14:paraId="7D190EEE" w14:textId="61A93FCC" w:rsidR="006C5B14" w:rsidRDefault="006C5B14" w:rsidP="007F205B">
            <w:pPr>
              <w:pStyle w:val="ListParagraph"/>
              <w:numPr>
                <w:ilvl w:val="0"/>
                <w:numId w:val="4"/>
              </w:numPr>
              <w:jc w:val="both"/>
              <w:rPr>
                <w:rFonts w:ascii="Arial Narrow" w:hAnsi="Arial Narrow"/>
                <w:lang w:val="hr-HR"/>
              </w:rPr>
            </w:pPr>
            <w:r w:rsidRPr="004A51F3">
              <w:rPr>
                <w:rFonts w:ascii="Arial Narrow" w:hAnsi="Arial Narrow"/>
                <w:lang w:val="hr-HR" w:eastAsia="zh-CN"/>
              </w:rPr>
              <w:t>Ukoliko osobe koje imaju svoju normu sati rade na projektu van redovnog radnog vremena te im se to isplaćuje kao prekovremeni rad ili neka vrsta naknade za dodatni rad (ovisno o Ugovoru o radu ili pravilnicima institucije), da li se ta naknada također može financirati iz projekta?</w:t>
            </w:r>
          </w:p>
        </w:tc>
        <w:tc>
          <w:tcPr>
            <w:tcW w:w="4508" w:type="dxa"/>
          </w:tcPr>
          <w:p w14:paraId="33689F6C" w14:textId="77777777" w:rsidR="00CB25E8" w:rsidRDefault="00CB25E8" w:rsidP="00CB25E8">
            <w:pPr>
              <w:jc w:val="both"/>
              <w:rPr>
                <w:rFonts w:ascii="Arial Narrow" w:hAnsi="Arial Narrow"/>
                <w:color w:val="0D0D0D" w:themeColor="text1" w:themeTint="F2"/>
                <w:lang w:val="hr-HR"/>
              </w:rPr>
            </w:pPr>
            <w:r w:rsidRPr="004A51F3">
              <w:rPr>
                <w:rFonts w:ascii="Arial Narrow" w:hAnsi="Arial Narrow"/>
                <w:color w:val="0D0D0D" w:themeColor="text1" w:themeTint="F2"/>
                <w:lang w:val="hr-HR"/>
              </w:rPr>
              <w:t>Sukladno Uputama za prijavitelje, poglavlje 4.3.2: „Troškovi rada osoba angažiranih na provedbi aktivnosti projekta</w:t>
            </w:r>
            <w:r>
              <w:rPr>
                <w:rFonts w:ascii="Arial Narrow" w:hAnsi="Arial Narrow"/>
                <w:color w:val="0D0D0D" w:themeColor="text1" w:themeTint="F2"/>
                <w:lang w:val="hr-HR"/>
              </w:rPr>
              <w:t xml:space="preserve"> su prihvatljivi troškovi u okviru ovog natječaja, što znači da će t</w:t>
            </w:r>
            <w:r w:rsidRPr="006834B7">
              <w:rPr>
                <w:rFonts w:ascii="Arial Narrow" w:hAnsi="Arial Narrow"/>
                <w:color w:val="0D0D0D" w:themeColor="text1" w:themeTint="F2"/>
                <w:lang w:val="hr-HR"/>
              </w:rPr>
              <w:t>r</w:t>
            </w:r>
            <w:r>
              <w:rPr>
                <w:rFonts w:ascii="Arial Narrow" w:hAnsi="Arial Narrow"/>
                <w:color w:val="0D0D0D" w:themeColor="text1" w:themeTint="F2"/>
                <w:lang w:val="hr-HR"/>
              </w:rPr>
              <w:t xml:space="preserve">ošak rada svih djelatnika institucije </w:t>
            </w:r>
            <w:r w:rsidRPr="006834B7">
              <w:rPr>
                <w:rFonts w:ascii="Arial Narrow" w:hAnsi="Arial Narrow"/>
                <w:color w:val="0D0D0D" w:themeColor="text1" w:themeTint="F2"/>
                <w:lang w:val="hr-HR"/>
              </w:rPr>
              <w:t>uključenih u provedbu projekta na izravan ili neizr</w:t>
            </w:r>
            <w:r>
              <w:rPr>
                <w:rFonts w:ascii="Arial Narrow" w:hAnsi="Arial Narrow"/>
                <w:color w:val="0D0D0D" w:themeColor="text1" w:themeTint="F2"/>
                <w:lang w:val="hr-HR"/>
              </w:rPr>
              <w:t xml:space="preserve">avan način biti refundiran </w:t>
            </w:r>
            <w:r w:rsidRPr="006834B7">
              <w:rPr>
                <w:rFonts w:ascii="Arial Narrow" w:hAnsi="Arial Narrow"/>
                <w:color w:val="0D0D0D" w:themeColor="text1" w:themeTint="F2"/>
                <w:lang w:val="hr-HR"/>
              </w:rPr>
              <w:t xml:space="preserve">instituciji u postotku njihova doprinosa na projektu jednako kao i svaki drugi prihvatljiv trošak koji je nužan i opravdan za provedbu projekta.  Ako je riječ o izravnom trošku, troškovi plaća i troškovi vezani uz rad, prema Uputama za prijavitelje, točka 4.3.2., podrazumijevaju plaće sa svim pripadajućim porezima i davanjima na plaću i iz plaće: troškove vezane uz rad (prehrana, prijevoz); naknade plaće za koje poslodavac ne može dobiti povrat iz drugih izvora (npr.  bolovanje do 42 dana );  te druge osobne primitke u skladu s važećim radnim zakonodavstvom (npr.  regres,  božićnica). </w:t>
            </w:r>
          </w:p>
          <w:p w14:paraId="455EB187" w14:textId="4042FA25" w:rsidR="006C5B14" w:rsidRPr="00DB1D26" w:rsidRDefault="005B0253" w:rsidP="005B0253">
            <w:pPr>
              <w:jc w:val="both"/>
              <w:rPr>
                <w:rFonts w:ascii="Arial Narrow" w:hAnsi="Arial Narrow"/>
                <w:lang w:val="hr-HR"/>
              </w:rPr>
            </w:pPr>
            <w:r>
              <w:rPr>
                <w:rFonts w:ascii="Arial Narrow" w:hAnsi="Arial Narrow"/>
                <w:lang w:val="hr-HR"/>
              </w:rPr>
              <w:t>Vezano za dio pitanja koji se odnosi na prekovremeni rad, m</w:t>
            </w:r>
            <w:r w:rsidR="00CB25E8" w:rsidRPr="00DB1D26">
              <w:rPr>
                <w:rFonts w:ascii="Arial Narrow" w:hAnsi="Arial Narrow"/>
                <w:lang w:val="hr-HR"/>
              </w:rPr>
              <w:t xml:space="preserve">olimo </w:t>
            </w:r>
            <w:r w:rsidR="00283C60" w:rsidRPr="00DB1D26">
              <w:rPr>
                <w:rFonts w:ascii="Arial Narrow" w:hAnsi="Arial Narrow"/>
                <w:lang w:val="hr-HR"/>
              </w:rPr>
              <w:t>vidjeti</w:t>
            </w:r>
            <w:r w:rsidR="006C5B14" w:rsidRPr="00DB1D26">
              <w:rPr>
                <w:rFonts w:ascii="Arial Narrow" w:hAnsi="Arial Narrow"/>
                <w:lang w:val="hr-HR"/>
              </w:rPr>
              <w:t xml:space="preserve"> </w:t>
            </w:r>
            <w:r w:rsidR="00283C60" w:rsidRPr="00DB1D26">
              <w:rPr>
                <w:rFonts w:ascii="Arial Narrow" w:hAnsi="Arial Narrow"/>
                <w:lang w:val="hr-HR"/>
              </w:rPr>
              <w:t xml:space="preserve"> odgovor </w:t>
            </w:r>
            <w:r w:rsidR="006C5B14" w:rsidRPr="00DB1D26">
              <w:rPr>
                <w:rFonts w:ascii="Arial Narrow" w:hAnsi="Arial Narrow"/>
                <w:lang w:val="hr-HR"/>
              </w:rPr>
              <w:t xml:space="preserve"> pod br. </w:t>
            </w:r>
            <w:r w:rsidR="00CB25E8" w:rsidRPr="00DB1D26">
              <w:rPr>
                <w:rFonts w:ascii="Arial Narrow" w:hAnsi="Arial Narrow"/>
                <w:lang w:val="hr-HR"/>
              </w:rPr>
              <w:t>28</w:t>
            </w:r>
            <w:r w:rsidR="006C5B14" w:rsidRPr="00DB1D26">
              <w:rPr>
                <w:rFonts w:ascii="Arial Narrow" w:hAnsi="Arial Narrow"/>
                <w:lang w:val="hr-HR"/>
              </w:rPr>
              <w:t xml:space="preserve">. </w:t>
            </w:r>
          </w:p>
        </w:tc>
      </w:tr>
    </w:tbl>
    <w:p w14:paraId="4A0A8692" w14:textId="77777777" w:rsidR="001A0CFA" w:rsidRPr="00FF7996" w:rsidRDefault="00B71ADC" w:rsidP="00FF7996">
      <w:pPr>
        <w:rPr>
          <w:rFonts w:ascii="Book Antiqua" w:hAnsi="Book Antiqua"/>
          <w:lang w:val="hr-HR" w:eastAsia="zh-CN"/>
        </w:rPr>
      </w:pPr>
      <w:r w:rsidRPr="00E81F79">
        <w:rPr>
          <w:lang w:val="hr-HR"/>
        </w:rPr>
        <w:br/>
      </w:r>
    </w:p>
    <w:p w14:paraId="231EBEAC" w14:textId="003345D4" w:rsidR="00B71ADC" w:rsidRPr="00FF7996" w:rsidRDefault="00B71ADC" w:rsidP="005A2648">
      <w:pPr>
        <w:rPr>
          <w:rFonts w:ascii="Book Antiqua" w:hAnsi="Book Antiqua"/>
          <w:lang w:val="hr-HR" w:eastAsia="zh-CN"/>
        </w:rPr>
      </w:pPr>
    </w:p>
    <w:sectPr w:rsidR="00B71ADC" w:rsidRPr="00FF7996">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B2C05" w14:textId="77777777" w:rsidR="00EF2208" w:rsidRDefault="00EF2208" w:rsidP="00D6355E">
      <w:pPr>
        <w:spacing w:after="0" w:line="240" w:lineRule="auto"/>
      </w:pPr>
      <w:r>
        <w:separator/>
      </w:r>
    </w:p>
  </w:endnote>
  <w:endnote w:type="continuationSeparator" w:id="0">
    <w:p w14:paraId="5C32C5A7" w14:textId="77777777" w:rsidR="00EF2208" w:rsidRDefault="00EF2208" w:rsidP="00D6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386437"/>
      <w:docPartObj>
        <w:docPartGallery w:val="Page Numbers (Bottom of Page)"/>
        <w:docPartUnique/>
      </w:docPartObj>
    </w:sdtPr>
    <w:sdtEndPr>
      <w:rPr>
        <w:noProof/>
      </w:rPr>
    </w:sdtEndPr>
    <w:sdtContent>
      <w:p w14:paraId="51F9DC76" w14:textId="77777777" w:rsidR="00A55069" w:rsidRDefault="00A55069">
        <w:pPr>
          <w:pStyle w:val="Footer"/>
          <w:jc w:val="right"/>
        </w:pPr>
        <w:r>
          <w:fldChar w:fldCharType="begin"/>
        </w:r>
        <w:r>
          <w:instrText xml:space="preserve"> PAGE   \* MERGEFORMAT </w:instrText>
        </w:r>
        <w:r>
          <w:fldChar w:fldCharType="separate"/>
        </w:r>
        <w:r w:rsidR="00D70E50">
          <w:rPr>
            <w:noProof/>
          </w:rPr>
          <w:t>2</w:t>
        </w:r>
        <w:r>
          <w:rPr>
            <w:noProof/>
          </w:rPr>
          <w:fldChar w:fldCharType="end"/>
        </w:r>
      </w:p>
    </w:sdtContent>
  </w:sdt>
  <w:p w14:paraId="798B6EB5" w14:textId="77777777" w:rsidR="00A55069" w:rsidRDefault="00A55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05D361" w14:textId="77777777" w:rsidR="00EF2208" w:rsidRDefault="00EF2208" w:rsidP="00D6355E">
      <w:pPr>
        <w:spacing w:after="0" w:line="240" w:lineRule="auto"/>
      </w:pPr>
      <w:r>
        <w:separator/>
      </w:r>
    </w:p>
  </w:footnote>
  <w:footnote w:type="continuationSeparator" w:id="0">
    <w:p w14:paraId="029AF596" w14:textId="77777777" w:rsidR="00EF2208" w:rsidRDefault="00EF2208" w:rsidP="00D63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4E319" w14:textId="16519FAF" w:rsidR="00A55069" w:rsidRDefault="00A55069" w:rsidP="00D6355E">
    <w:pPr>
      <w:pStyle w:val="Header"/>
      <w:jc w:val="center"/>
      <w:rPr>
        <w:lang w:val="hr-HR"/>
      </w:rPr>
    </w:pPr>
    <w:r>
      <w:rPr>
        <w:lang w:val="hr-HR"/>
      </w:rPr>
      <w:t>Odgovori na često postavljena pitanja u okviru Poziva „Unapređivanje kvalitete u visokom obrazovanju uz primjenu Hrvatskog kvalifikacijskog okvira“</w:t>
    </w:r>
    <w:r w:rsidR="00347A0D">
      <w:rPr>
        <w:lang w:val="hr-HR"/>
      </w:rPr>
      <w:t xml:space="preserve"> – 20. kolovoza 2014. </w:t>
    </w:r>
  </w:p>
  <w:p w14:paraId="19D4331A" w14:textId="77777777" w:rsidR="00A55069" w:rsidRPr="00D6355E" w:rsidRDefault="00A55069" w:rsidP="00D6355E">
    <w:pPr>
      <w:pStyle w:val="Header"/>
      <w:jc w:val="center"/>
      <w:rPr>
        <w:lang w:val="hr-H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696"/>
    <w:multiLevelType w:val="hybridMultilevel"/>
    <w:tmpl w:val="7ED4F2F6"/>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044B6E0A"/>
    <w:multiLevelType w:val="hybridMultilevel"/>
    <w:tmpl w:val="BD2E1D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9E0F3C"/>
    <w:multiLevelType w:val="hybridMultilevel"/>
    <w:tmpl w:val="717AD8F4"/>
    <w:lvl w:ilvl="0" w:tplc="BC78B7C4">
      <w:start w:val="1"/>
      <w:numFmt w:val="decimal"/>
      <w:lvlText w:val="%1."/>
      <w:lvlJc w:val="left"/>
      <w:pPr>
        <w:ind w:left="928" w:hanging="360"/>
      </w:pPr>
      <w:rPr>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CA677C"/>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D2738B"/>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192261"/>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9C3215"/>
    <w:multiLevelType w:val="hybridMultilevel"/>
    <w:tmpl w:val="196E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592390"/>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C35174"/>
    <w:multiLevelType w:val="hybridMultilevel"/>
    <w:tmpl w:val="18E4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6F3E27"/>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9258E4"/>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100055D"/>
    <w:multiLevelType w:val="hybridMultilevel"/>
    <w:tmpl w:val="71BEF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2A2E07"/>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8C63F14"/>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1076D4A"/>
    <w:multiLevelType w:val="hybridMultilevel"/>
    <w:tmpl w:val="CA3C0366"/>
    <w:lvl w:ilvl="0" w:tplc="38986C20">
      <w:start w:val="1"/>
      <w:numFmt w:val="lowerLetter"/>
      <w:lvlText w:val="%1)"/>
      <w:lvlJc w:val="left"/>
      <w:pPr>
        <w:ind w:left="720" w:hanging="360"/>
      </w:pPr>
      <w:rPr>
        <w:rFonts w:ascii="Arial Narrow" w:eastAsiaTheme="minorHAnsi" w:hAnsi="Arial Narrow" w:cstheme="minorBidi"/>
      </w:rPr>
    </w:lvl>
    <w:lvl w:ilvl="1" w:tplc="A82ACEF6">
      <w:start w:val="1"/>
      <w:numFmt w:val="lowerLetter"/>
      <w:lvlText w:val="%2)"/>
      <w:lvlJc w:val="left"/>
      <w:pPr>
        <w:ind w:left="1440" w:hanging="360"/>
      </w:pPr>
      <w:rPr>
        <w:rFonts w:ascii="Arial Narrow" w:eastAsiaTheme="minorHAnsi" w:hAnsi="Arial Narrow" w:cstheme="minorBid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53A7ED5"/>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9D0691C"/>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D586E43"/>
    <w:multiLevelType w:val="hybridMultilevel"/>
    <w:tmpl w:val="C34010DE"/>
    <w:lvl w:ilvl="0" w:tplc="38986C20">
      <w:start w:val="1"/>
      <w:numFmt w:val="lowerLetter"/>
      <w:lvlText w:val="%1)"/>
      <w:lvlJc w:val="left"/>
      <w:pPr>
        <w:ind w:left="720" w:hanging="360"/>
      </w:pPr>
      <w:rPr>
        <w:rFonts w:ascii="Arial Narrow" w:eastAsiaTheme="minorHAnsi" w:hAnsi="Arial Narrow" w:cstheme="minorBidi"/>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AC8740B"/>
    <w:multiLevelType w:val="hybridMultilevel"/>
    <w:tmpl w:val="6E120BEC"/>
    <w:lvl w:ilvl="0" w:tplc="54E8DCA0">
      <w:start w:val="1"/>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2E6685"/>
    <w:multiLevelType w:val="hybridMultilevel"/>
    <w:tmpl w:val="11CE51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4B0F5D"/>
    <w:multiLevelType w:val="hybridMultilevel"/>
    <w:tmpl w:val="11CE512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DBC09A2"/>
    <w:multiLevelType w:val="hybridMultilevel"/>
    <w:tmpl w:val="BCC2E8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F6A146C"/>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D87C20"/>
    <w:multiLevelType w:val="hybridMultilevel"/>
    <w:tmpl w:val="640C93DE"/>
    <w:lvl w:ilvl="0" w:tplc="783AA9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75609C"/>
    <w:multiLevelType w:val="hybridMultilevel"/>
    <w:tmpl w:val="35C656F4"/>
    <w:lvl w:ilvl="0" w:tplc="2E7A7E00">
      <w:start w:val="1"/>
      <w:numFmt w:val="lowerLetter"/>
      <w:lvlText w:val="%1)"/>
      <w:lvlJc w:val="left"/>
      <w:pPr>
        <w:ind w:left="720" w:hanging="360"/>
      </w:pPr>
      <w:rPr>
        <w:rFonts w:ascii="Arial Narrow" w:eastAsiaTheme="minorHAnsi" w:hAnsi="Arial Narrow"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721953"/>
    <w:multiLevelType w:val="hybridMultilevel"/>
    <w:tmpl w:val="219E3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F52D63"/>
    <w:multiLevelType w:val="hybridMultilevel"/>
    <w:tmpl w:val="BAE8E002"/>
    <w:lvl w:ilvl="0" w:tplc="4CC238A0">
      <w:start w:val="1"/>
      <w:numFmt w:val="bullet"/>
      <w:lvlText w:val="-"/>
      <w:lvlJc w:val="left"/>
      <w:pPr>
        <w:ind w:left="1080" w:hanging="360"/>
      </w:pPr>
      <w:rPr>
        <w:rFonts w:ascii="Calibri" w:eastAsiaTheme="minorHAnsi" w:hAnsi="Calibri"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0"/>
  </w:num>
  <w:num w:numId="2">
    <w:abstractNumId w:val="26"/>
  </w:num>
  <w:num w:numId="3">
    <w:abstractNumId w:val="19"/>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9"/>
  </w:num>
  <w:num w:numId="9">
    <w:abstractNumId w:val="3"/>
  </w:num>
  <w:num w:numId="10">
    <w:abstractNumId w:val="22"/>
  </w:num>
  <w:num w:numId="11">
    <w:abstractNumId w:val="10"/>
  </w:num>
  <w:num w:numId="12">
    <w:abstractNumId w:val="12"/>
  </w:num>
  <w:num w:numId="13">
    <w:abstractNumId w:val="25"/>
  </w:num>
  <w:num w:numId="14">
    <w:abstractNumId w:val="13"/>
  </w:num>
  <w:num w:numId="15">
    <w:abstractNumId w:val="7"/>
  </w:num>
  <w:num w:numId="16">
    <w:abstractNumId w:val="6"/>
  </w:num>
  <w:num w:numId="17">
    <w:abstractNumId w:val="4"/>
  </w:num>
  <w:num w:numId="18">
    <w:abstractNumId w:val="15"/>
  </w:num>
  <w:num w:numId="19">
    <w:abstractNumId w:val="8"/>
  </w:num>
  <w:num w:numId="20">
    <w:abstractNumId w:val="24"/>
  </w:num>
  <w:num w:numId="21">
    <w:abstractNumId w:val="18"/>
  </w:num>
  <w:num w:numId="22">
    <w:abstractNumId w:val="23"/>
  </w:num>
  <w:num w:numId="23">
    <w:abstractNumId w:val="21"/>
  </w:num>
  <w:num w:numId="24">
    <w:abstractNumId w:val="1"/>
  </w:num>
  <w:num w:numId="25">
    <w:abstractNumId w:val="14"/>
  </w:num>
  <w:num w:numId="26">
    <w:abstractNumId w:val="1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5E"/>
    <w:rsid w:val="00012AB6"/>
    <w:rsid w:val="00012D34"/>
    <w:rsid w:val="00013F53"/>
    <w:rsid w:val="000159C7"/>
    <w:rsid w:val="0002192B"/>
    <w:rsid w:val="00023790"/>
    <w:rsid w:val="0006167F"/>
    <w:rsid w:val="0006333C"/>
    <w:rsid w:val="00075A08"/>
    <w:rsid w:val="00085ECD"/>
    <w:rsid w:val="00095ED4"/>
    <w:rsid w:val="000A2C05"/>
    <w:rsid w:val="000B13C2"/>
    <w:rsid w:val="000B1F99"/>
    <w:rsid w:val="000B4315"/>
    <w:rsid w:val="000D3BF4"/>
    <w:rsid w:val="000E14F7"/>
    <w:rsid w:val="000E4487"/>
    <w:rsid w:val="00100B64"/>
    <w:rsid w:val="00101800"/>
    <w:rsid w:val="00116574"/>
    <w:rsid w:val="00120516"/>
    <w:rsid w:val="00157356"/>
    <w:rsid w:val="00163931"/>
    <w:rsid w:val="00175913"/>
    <w:rsid w:val="00175A6C"/>
    <w:rsid w:val="001A0CFA"/>
    <w:rsid w:val="001C1BAE"/>
    <w:rsid w:val="001C6AFF"/>
    <w:rsid w:val="001E632F"/>
    <w:rsid w:val="002004BF"/>
    <w:rsid w:val="00201573"/>
    <w:rsid w:val="00207DB3"/>
    <w:rsid w:val="00224661"/>
    <w:rsid w:val="00233878"/>
    <w:rsid w:val="00237316"/>
    <w:rsid w:val="00240419"/>
    <w:rsid w:val="0027009D"/>
    <w:rsid w:val="00270D4C"/>
    <w:rsid w:val="00283C60"/>
    <w:rsid w:val="00296B3E"/>
    <w:rsid w:val="00297FD5"/>
    <w:rsid w:val="002A59DE"/>
    <w:rsid w:val="002B09AE"/>
    <w:rsid w:val="002D0E6B"/>
    <w:rsid w:val="002E7117"/>
    <w:rsid w:val="00317DDE"/>
    <w:rsid w:val="00322D56"/>
    <w:rsid w:val="00323CC7"/>
    <w:rsid w:val="003269F3"/>
    <w:rsid w:val="003321CC"/>
    <w:rsid w:val="003331C5"/>
    <w:rsid w:val="00346343"/>
    <w:rsid w:val="00347A0D"/>
    <w:rsid w:val="0035075C"/>
    <w:rsid w:val="00385BF6"/>
    <w:rsid w:val="003C4E5B"/>
    <w:rsid w:val="003C552E"/>
    <w:rsid w:val="003D4322"/>
    <w:rsid w:val="003E4256"/>
    <w:rsid w:val="003E6010"/>
    <w:rsid w:val="003F44CC"/>
    <w:rsid w:val="00400E9C"/>
    <w:rsid w:val="00404167"/>
    <w:rsid w:val="004218FE"/>
    <w:rsid w:val="00421BA8"/>
    <w:rsid w:val="00423126"/>
    <w:rsid w:val="00425F89"/>
    <w:rsid w:val="0043053B"/>
    <w:rsid w:val="0044715D"/>
    <w:rsid w:val="00486C33"/>
    <w:rsid w:val="00492346"/>
    <w:rsid w:val="004966AA"/>
    <w:rsid w:val="004A31A7"/>
    <w:rsid w:val="004A3F38"/>
    <w:rsid w:val="004A51F3"/>
    <w:rsid w:val="004B3883"/>
    <w:rsid w:val="004C4CA0"/>
    <w:rsid w:val="004C7775"/>
    <w:rsid w:val="004E2DCA"/>
    <w:rsid w:val="004F24BA"/>
    <w:rsid w:val="004F32CB"/>
    <w:rsid w:val="00501A17"/>
    <w:rsid w:val="0050382C"/>
    <w:rsid w:val="00514319"/>
    <w:rsid w:val="0053514B"/>
    <w:rsid w:val="0054579F"/>
    <w:rsid w:val="0054710B"/>
    <w:rsid w:val="00560A99"/>
    <w:rsid w:val="005A125A"/>
    <w:rsid w:val="005A2648"/>
    <w:rsid w:val="005A576B"/>
    <w:rsid w:val="005B0253"/>
    <w:rsid w:val="005B3800"/>
    <w:rsid w:val="005B6A87"/>
    <w:rsid w:val="005D3A76"/>
    <w:rsid w:val="005E0C6F"/>
    <w:rsid w:val="005F3800"/>
    <w:rsid w:val="005F3F43"/>
    <w:rsid w:val="00611264"/>
    <w:rsid w:val="00611EC0"/>
    <w:rsid w:val="00614B44"/>
    <w:rsid w:val="006208C7"/>
    <w:rsid w:val="006231A4"/>
    <w:rsid w:val="00624E73"/>
    <w:rsid w:val="00631659"/>
    <w:rsid w:val="0064274B"/>
    <w:rsid w:val="0064350C"/>
    <w:rsid w:val="00672796"/>
    <w:rsid w:val="00675610"/>
    <w:rsid w:val="00682839"/>
    <w:rsid w:val="006834B7"/>
    <w:rsid w:val="006C1A8F"/>
    <w:rsid w:val="006C5B14"/>
    <w:rsid w:val="006D35BA"/>
    <w:rsid w:val="006D4439"/>
    <w:rsid w:val="006E0E75"/>
    <w:rsid w:val="006F1FC1"/>
    <w:rsid w:val="00706872"/>
    <w:rsid w:val="00716047"/>
    <w:rsid w:val="00717616"/>
    <w:rsid w:val="00722C56"/>
    <w:rsid w:val="0073097B"/>
    <w:rsid w:val="00731101"/>
    <w:rsid w:val="00731A95"/>
    <w:rsid w:val="00747779"/>
    <w:rsid w:val="00747A84"/>
    <w:rsid w:val="00753217"/>
    <w:rsid w:val="00755010"/>
    <w:rsid w:val="0075789F"/>
    <w:rsid w:val="00760C21"/>
    <w:rsid w:val="007671A1"/>
    <w:rsid w:val="0077005D"/>
    <w:rsid w:val="00780A9B"/>
    <w:rsid w:val="007953B0"/>
    <w:rsid w:val="00797424"/>
    <w:rsid w:val="007C1428"/>
    <w:rsid w:val="007F205B"/>
    <w:rsid w:val="00817E84"/>
    <w:rsid w:val="008224E3"/>
    <w:rsid w:val="008253FF"/>
    <w:rsid w:val="00826098"/>
    <w:rsid w:val="00836BAC"/>
    <w:rsid w:val="00843340"/>
    <w:rsid w:val="00863DFB"/>
    <w:rsid w:val="00864CB6"/>
    <w:rsid w:val="00870835"/>
    <w:rsid w:val="00874F66"/>
    <w:rsid w:val="00886A1C"/>
    <w:rsid w:val="008A12FD"/>
    <w:rsid w:val="008A1CD0"/>
    <w:rsid w:val="008A7B0D"/>
    <w:rsid w:val="008B7AB1"/>
    <w:rsid w:val="008C30B7"/>
    <w:rsid w:val="008C6D25"/>
    <w:rsid w:val="008E1D93"/>
    <w:rsid w:val="008F7729"/>
    <w:rsid w:val="00915CE1"/>
    <w:rsid w:val="009177AF"/>
    <w:rsid w:val="00934803"/>
    <w:rsid w:val="00955425"/>
    <w:rsid w:val="00971941"/>
    <w:rsid w:val="00973D58"/>
    <w:rsid w:val="009905DF"/>
    <w:rsid w:val="00990FDA"/>
    <w:rsid w:val="00993DFA"/>
    <w:rsid w:val="009C6EE0"/>
    <w:rsid w:val="009D0FA7"/>
    <w:rsid w:val="009E2192"/>
    <w:rsid w:val="009E2FE3"/>
    <w:rsid w:val="009F28FB"/>
    <w:rsid w:val="009F4A76"/>
    <w:rsid w:val="009F65B4"/>
    <w:rsid w:val="00A021F3"/>
    <w:rsid w:val="00A14381"/>
    <w:rsid w:val="00A20B92"/>
    <w:rsid w:val="00A4319A"/>
    <w:rsid w:val="00A460D9"/>
    <w:rsid w:val="00A5476E"/>
    <w:rsid w:val="00A55069"/>
    <w:rsid w:val="00A6673D"/>
    <w:rsid w:val="00A76CB0"/>
    <w:rsid w:val="00AD648E"/>
    <w:rsid w:val="00AE25A9"/>
    <w:rsid w:val="00AE5097"/>
    <w:rsid w:val="00B006C4"/>
    <w:rsid w:val="00B01C02"/>
    <w:rsid w:val="00B05E17"/>
    <w:rsid w:val="00B06923"/>
    <w:rsid w:val="00B20BFB"/>
    <w:rsid w:val="00B37F36"/>
    <w:rsid w:val="00B41021"/>
    <w:rsid w:val="00B535E1"/>
    <w:rsid w:val="00B658A4"/>
    <w:rsid w:val="00B67606"/>
    <w:rsid w:val="00B71ADC"/>
    <w:rsid w:val="00B9037E"/>
    <w:rsid w:val="00BC0833"/>
    <w:rsid w:val="00BC25F8"/>
    <w:rsid w:val="00BC3D0D"/>
    <w:rsid w:val="00BD419D"/>
    <w:rsid w:val="00BE48C8"/>
    <w:rsid w:val="00C900C8"/>
    <w:rsid w:val="00C95833"/>
    <w:rsid w:val="00CB25E8"/>
    <w:rsid w:val="00CE5006"/>
    <w:rsid w:val="00CE721D"/>
    <w:rsid w:val="00D12182"/>
    <w:rsid w:val="00D20426"/>
    <w:rsid w:val="00D52003"/>
    <w:rsid w:val="00D6355E"/>
    <w:rsid w:val="00D70E50"/>
    <w:rsid w:val="00D73621"/>
    <w:rsid w:val="00D74BBA"/>
    <w:rsid w:val="00D7676A"/>
    <w:rsid w:val="00D76D7E"/>
    <w:rsid w:val="00D80E93"/>
    <w:rsid w:val="00DA1DBC"/>
    <w:rsid w:val="00DB1D26"/>
    <w:rsid w:val="00DB2F74"/>
    <w:rsid w:val="00DD46FC"/>
    <w:rsid w:val="00DD4D94"/>
    <w:rsid w:val="00DF6E49"/>
    <w:rsid w:val="00E178DB"/>
    <w:rsid w:val="00E21293"/>
    <w:rsid w:val="00E23FD2"/>
    <w:rsid w:val="00E33CA5"/>
    <w:rsid w:val="00E40A40"/>
    <w:rsid w:val="00E662A3"/>
    <w:rsid w:val="00E66558"/>
    <w:rsid w:val="00E75D7E"/>
    <w:rsid w:val="00E807A6"/>
    <w:rsid w:val="00E81F79"/>
    <w:rsid w:val="00E839A6"/>
    <w:rsid w:val="00E84FD0"/>
    <w:rsid w:val="00E85AB4"/>
    <w:rsid w:val="00EA4E4F"/>
    <w:rsid w:val="00EB0AFC"/>
    <w:rsid w:val="00EB7D22"/>
    <w:rsid w:val="00EF1271"/>
    <w:rsid w:val="00EF2208"/>
    <w:rsid w:val="00EF2BED"/>
    <w:rsid w:val="00F464B0"/>
    <w:rsid w:val="00F85FDC"/>
    <w:rsid w:val="00F877E3"/>
    <w:rsid w:val="00F9692E"/>
    <w:rsid w:val="00F97139"/>
    <w:rsid w:val="00FB60B1"/>
    <w:rsid w:val="00FF580B"/>
    <w:rsid w:val="00FF79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C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E"/>
  </w:style>
  <w:style w:type="paragraph" w:styleId="Footer">
    <w:name w:val="footer"/>
    <w:basedOn w:val="Normal"/>
    <w:link w:val="FooterChar"/>
    <w:uiPriority w:val="99"/>
    <w:unhideWhenUsed/>
    <w:rsid w:val="00D63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E"/>
  </w:style>
  <w:style w:type="table" w:styleId="TableGrid">
    <w:name w:val="Table Grid"/>
    <w:basedOn w:val="TableNormal"/>
    <w:uiPriority w:val="39"/>
    <w:rsid w:val="00D6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55E"/>
    <w:pPr>
      <w:ind w:left="720"/>
      <w:contextualSpacing/>
    </w:pPr>
  </w:style>
  <w:style w:type="paragraph" w:styleId="PlainText">
    <w:name w:val="Plain Text"/>
    <w:basedOn w:val="Normal"/>
    <w:link w:val="PlainTextChar"/>
    <w:uiPriority w:val="99"/>
    <w:semiHidden/>
    <w:unhideWhenUsed/>
    <w:rsid w:val="00B71AD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71ADC"/>
    <w:rPr>
      <w:rFonts w:ascii="Calibri" w:hAnsi="Calibri" w:cs="Times New Roman"/>
    </w:rPr>
  </w:style>
  <w:style w:type="character" w:styleId="CommentReference">
    <w:name w:val="annotation reference"/>
    <w:basedOn w:val="DefaultParagraphFont"/>
    <w:uiPriority w:val="99"/>
    <w:semiHidden/>
    <w:unhideWhenUsed/>
    <w:rsid w:val="008B7AB1"/>
    <w:rPr>
      <w:sz w:val="16"/>
      <w:szCs w:val="16"/>
    </w:rPr>
  </w:style>
  <w:style w:type="paragraph" w:styleId="CommentText">
    <w:name w:val="annotation text"/>
    <w:basedOn w:val="Normal"/>
    <w:link w:val="CommentTextChar"/>
    <w:uiPriority w:val="99"/>
    <w:unhideWhenUsed/>
    <w:rsid w:val="008B7AB1"/>
    <w:pPr>
      <w:spacing w:line="240" w:lineRule="auto"/>
    </w:pPr>
    <w:rPr>
      <w:sz w:val="20"/>
      <w:szCs w:val="20"/>
    </w:rPr>
  </w:style>
  <w:style w:type="character" w:customStyle="1" w:styleId="CommentTextChar">
    <w:name w:val="Comment Text Char"/>
    <w:basedOn w:val="DefaultParagraphFont"/>
    <w:link w:val="CommentText"/>
    <w:uiPriority w:val="99"/>
    <w:rsid w:val="008B7AB1"/>
    <w:rPr>
      <w:sz w:val="20"/>
      <w:szCs w:val="20"/>
    </w:rPr>
  </w:style>
  <w:style w:type="paragraph" w:styleId="CommentSubject">
    <w:name w:val="annotation subject"/>
    <w:basedOn w:val="CommentText"/>
    <w:next w:val="CommentText"/>
    <w:link w:val="CommentSubjectChar"/>
    <w:uiPriority w:val="99"/>
    <w:semiHidden/>
    <w:unhideWhenUsed/>
    <w:rsid w:val="008B7AB1"/>
    <w:rPr>
      <w:b/>
      <w:bCs/>
    </w:rPr>
  </w:style>
  <w:style w:type="character" w:customStyle="1" w:styleId="CommentSubjectChar">
    <w:name w:val="Comment Subject Char"/>
    <w:basedOn w:val="CommentTextChar"/>
    <w:link w:val="CommentSubject"/>
    <w:uiPriority w:val="99"/>
    <w:semiHidden/>
    <w:rsid w:val="008B7AB1"/>
    <w:rPr>
      <w:b/>
      <w:bCs/>
      <w:sz w:val="20"/>
      <w:szCs w:val="20"/>
    </w:rPr>
  </w:style>
  <w:style w:type="paragraph" w:styleId="BalloonText">
    <w:name w:val="Balloon Text"/>
    <w:basedOn w:val="Normal"/>
    <w:link w:val="BalloonTextChar"/>
    <w:uiPriority w:val="99"/>
    <w:semiHidden/>
    <w:unhideWhenUsed/>
    <w:rsid w:val="008B7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AB1"/>
    <w:rPr>
      <w:rFonts w:ascii="Segoe UI" w:hAnsi="Segoe UI" w:cs="Segoe UI"/>
      <w:sz w:val="18"/>
      <w:szCs w:val="18"/>
    </w:rPr>
  </w:style>
  <w:style w:type="character" w:styleId="Hyperlink">
    <w:name w:val="Hyperlink"/>
    <w:basedOn w:val="DefaultParagraphFont"/>
    <w:uiPriority w:val="99"/>
    <w:unhideWhenUsed/>
    <w:rsid w:val="00317DD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5E"/>
  </w:style>
  <w:style w:type="paragraph" w:styleId="Footer">
    <w:name w:val="footer"/>
    <w:basedOn w:val="Normal"/>
    <w:link w:val="FooterChar"/>
    <w:uiPriority w:val="99"/>
    <w:unhideWhenUsed/>
    <w:rsid w:val="00D63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5E"/>
  </w:style>
  <w:style w:type="table" w:styleId="TableGrid">
    <w:name w:val="Table Grid"/>
    <w:basedOn w:val="TableNormal"/>
    <w:uiPriority w:val="39"/>
    <w:rsid w:val="00D63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55E"/>
    <w:pPr>
      <w:ind w:left="720"/>
      <w:contextualSpacing/>
    </w:pPr>
  </w:style>
  <w:style w:type="paragraph" w:styleId="PlainText">
    <w:name w:val="Plain Text"/>
    <w:basedOn w:val="Normal"/>
    <w:link w:val="PlainTextChar"/>
    <w:uiPriority w:val="99"/>
    <w:semiHidden/>
    <w:unhideWhenUsed/>
    <w:rsid w:val="00B71AD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B71ADC"/>
    <w:rPr>
      <w:rFonts w:ascii="Calibri" w:hAnsi="Calibri" w:cs="Times New Roman"/>
    </w:rPr>
  </w:style>
  <w:style w:type="character" w:styleId="CommentReference">
    <w:name w:val="annotation reference"/>
    <w:basedOn w:val="DefaultParagraphFont"/>
    <w:uiPriority w:val="99"/>
    <w:semiHidden/>
    <w:unhideWhenUsed/>
    <w:rsid w:val="008B7AB1"/>
    <w:rPr>
      <w:sz w:val="16"/>
      <w:szCs w:val="16"/>
    </w:rPr>
  </w:style>
  <w:style w:type="paragraph" w:styleId="CommentText">
    <w:name w:val="annotation text"/>
    <w:basedOn w:val="Normal"/>
    <w:link w:val="CommentTextChar"/>
    <w:uiPriority w:val="99"/>
    <w:unhideWhenUsed/>
    <w:rsid w:val="008B7AB1"/>
    <w:pPr>
      <w:spacing w:line="240" w:lineRule="auto"/>
    </w:pPr>
    <w:rPr>
      <w:sz w:val="20"/>
      <w:szCs w:val="20"/>
    </w:rPr>
  </w:style>
  <w:style w:type="character" w:customStyle="1" w:styleId="CommentTextChar">
    <w:name w:val="Comment Text Char"/>
    <w:basedOn w:val="DefaultParagraphFont"/>
    <w:link w:val="CommentText"/>
    <w:uiPriority w:val="99"/>
    <w:rsid w:val="008B7AB1"/>
    <w:rPr>
      <w:sz w:val="20"/>
      <w:szCs w:val="20"/>
    </w:rPr>
  </w:style>
  <w:style w:type="paragraph" w:styleId="CommentSubject">
    <w:name w:val="annotation subject"/>
    <w:basedOn w:val="CommentText"/>
    <w:next w:val="CommentText"/>
    <w:link w:val="CommentSubjectChar"/>
    <w:uiPriority w:val="99"/>
    <w:semiHidden/>
    <w:unhideWhenUsed/>
    <w:rsid w:val="008B7AB1"/>
    <w:rPr>
      <w:b/>
      <w:bCs/>
    </w:rPr>
  </w:style>
  <w:style w:type="character" w:customStyle="1" w:styleId="CommentSubjectChar">
    <w:name w:val="Comment Subject Char"/>
    <w:basedOn w:val="CommentTextChar"/>
    <w:link w:val="CommentSubject"/>
    <w:uiPriority w:val="99"/>
    <w:semiHidden/>
    <w:rsid w:val="008B7AB1"/>
    <w:rPr>
      <w:b/>
      <w:bCs/>
      <w:sz w:val="20"/>
      <w:szCs w:val="20"/>
    </w:rPr>
  </w:style>
  <w:style w:type="paragraph" w:styleId="BalloonText">
    <w:name w:val="Balloon Text"/>
    <w:basedOn w:val="Normal"/>
    <w:link w:val="BalloonTextChar"/>
    <w:uiPriority w:val="99"/>
    <w:semiHidden/>
    <w:unhideWhenUsed/>
    <w:rsid w:val="008B7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AB1"/>
    <w:rPr>
      <w:rFonts w:ascii="Segoe UI" w:hAnsi="Segoe UI" w:cs="Segoe UI"/>
      <w:sz w:val="18"/>
      <w:szCs w:val="18"/>
    </w:rPr>
  </w:style>
  <w:style w:type="character" w:styleId="Hyperlink">
    <w:name w:val="Hyperlink"/>
    <w:basedOn w:val="DefaultParagraphFont"/>
    <w:uiPriority w:val="99"/>
    <w:unhideWhenUsed/>
    <w:rsid w:val="00317D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5270">
      <w:bodyDiv w:val="1"/>
      <w:marLeft w:val="0"/>
      <w:marRight w:val="0"/>
      <w:marTop w:val="0"/>
      <w:marBottom w:val="0"/>
      <w:divBdr>
        <w:top w:val="none" w:sz="0" w:space="0" w:color="auto"/>
        <w:left w:val="none" w:sz="0" w:space="0" w:color="auto"/>
        <w:bottom w:val="none" w:sz="0" w:space="0" w:color="auto"/>
        <w:right w:val="none" w:sz="0" w:space="0" w:color="auto"/>
      </w:divBdr>
      <w:divsChild>
        <w:div w:id="1326787029">
          <w:marLeft w:val="0"/>
          <w:marRight w:val="0"/>
          <w:marTop w:val="0"/>
          <w:marBottom w:val="0"/>
          <w:divBdr>
            <w:top w:val="none" w:sz="0" w:space="0" w:color="auto"/>
            <w:left w:val="none" w:sz="0" w:space="0" w:color="auto"/>
            <w:bottom w:val="none" w:sz="0" w:space="0" w:color="auto"/>
            <w:right w:val="none" w:sz="0" w:space="0" w:color="auto"/>
          </w:divBdr>
        </w:div>
        <w:div w:id="1799840204">
          <w:marLeft w:val="0"/>
          <w:marRight w:val="0"/>
          <w:marTop w:val="0"/>
          <w:marBottom w:val="0"/>
          <w:divBdr>
            <w:top w:val="none" w:sz="0" w:space="0" w:color="auto"/>
            <w:left w:val="none" w:sz="0" w:space="0" w:color="auto"/>
            <w:bottom w:val="none" w:sz="0" w:space="0" w:color="auto"/>
            <w:right w:val="none" w:sz="0" w:space="0" w:color="auto"/>
          </w:divBdr>
        </w:div>
      </w:divsChild>
    </w:div>
    <w:div w:id="32274937">
      <w:bodyDiv w:val="1"/>
      <w:marLeft w:val="0"/>
      <w:marRight w:val="0"/>
      <w:marTop w:val="0"/>
      <w:marBottom w:val="0"/>
      <w:divBdr>
        <w:top w:val="none" w:sz="0" w:space="0" w:color="auto"/>
        <w:left w:val="none" w:sz="0" w:space="0" w:color="auto"/>
        <w:bottom w:val="none" w:sz="0" w:space="0" w:color="auto"/>
        <w:right w:val="none" w:sz="0" w:space="0" w:color="auto"/>
      </w:divBdr>
    </w:div>
    <w:div w:id="208419233">
      <w:bodyDiv w:val="1"/>
      <w:marLeft w:val="0"/>
      <w:marRight w:val="0"/>
      <w:marTop w:val="0"/>
      <w:marBottom w:val="0"/>
      <w:divBdr>
        <w:top w:val="none" w:sz="0" w:space="0" w:color="auto"/>
        <w:left w:val="none" w:sz="0" w:space="0" w:color="auto"/>
        <w:bottom w:val="none" w:sz="0" w:space="0" w:color="auto"/>
        <w:right w:val="none" w:sz="0" w:space="0" w:color="auto"/>
      </w:divBdr>
    </w:div>
    <w:div w:id="265164060">
      <w:bodyDiv w:val="1"/>
      <w:marLeft w:val="0"/>
      <w:marRight w:val="0"/>
      <w:marTop w:val="0"/>
      <w:marBottom w:val="0"/>
      <w:divBdr>
        <w:top w:val="none" w:sz="0" w:space="0" w:color="auto"/>
        <w:left w:val="none" w:sz="0" w:space="0" w:color="auto"/>
        <w:bottom w:val="none" w:sz="0" w:space="0" w:color="auto"/>
        <w:right w:val="none" w:sz="0" w:space="0" w:color="auto"/>
      </w:divBdr>
    </w:div>
    <w:div w:id="527522071">
      <w:bodyDiv w:val="1"/>
      <w:marLeft w:val="0"/>
      <w:marRight w:val="0"/>
      <w:marTop w:val="0"/>
      <w:marBottom w:val="0"/>
      <w:divBdr>
        <w:top w:val="none" w:sz="0" w:space="0" w:color="auto"/>
        <w:left w:val="none" w:sz="0" w:space="0" w:color="auto"/>
        <w:bottom w:val="none" w:sz="0" w:space="0" w:color="auto"/>
        <w:right w:val="none" w:sz="0" w:space="0" w:color="auto"/>
      </w:divBdr>
    </w:div>
    <w:div w:id="555974256">
      <w:bodyDiv w:val="1"/>
      <w:marLeft w:val="0"/>
      <w:marRight w:val="0"/>
      <w:marTop w:val="0"/>
      <w:marBottom w:val="0"/>
      <w:divBdr>
        <w:top w:val="none" w:sz="0" w:space="0" w:color="auto"/>
        <w:left w:val="none" w:sz="0" w:space="0" w:color="auto"/>
        <w:bottom w:val="none" w:sz="0" w:space="0" w:color="auto"/>
        <w:right w:val="none" w:sz="0" w:space="0" w:color="auto"/>
      </w:divBdr>
    </w:div>
    <w:div w:id="1268273348">
      <w:bodyDiv w:val="1"/>
      <w:marLeft w:val="0"/>
      <w:marRight w:val="0"/>
      <w:marTop w:val="0"/>
      <w:marBottom w:val="0"/>
      <w:divBdr>
        <w:top w:val="none" w:sz="0" w:space="0" w:color="auto"/>
        <w:left w:val="none" w:sz="0" w:space="0" w:color="auto"/>
        <w:bottom w:val="none" w:sz="0" w:space="0" w:color="auto"/>
        <w:right w:val="none" w:sz="0" w:space="0" w:color="auto"/>
      </w:divBdr>
      <w:divsChild>
        <w:div w:id="608125280">
          <w:marLeft w:val="0"/>
          <w:marRight w:val="0"/>
          <w:marTop w:val="0"/>
          <w:marBottom w:val="0"/>
          <w:divBdr>
            <w:top w:val="none" w:sz="0" w:space="0" w:color="auto"/>
            <w:left w:val="none" w:sz="0" w:space="0" w:color="auto"/>
            <w:bottom w:val="none" w:sz="0" w:space="0" w:color="auto"/>
            <w:right w:val="none" w:sz="0" w:space="0" w:color="auto"/>
          </w:divBdr>
        </w:div>
        <w:div w:id="751004011">
          <w:marLeft w:val="0"/>
          <w:marRight w:val="0"/>
          <w:marTop w:val="0"/>
          <w:marBottom w:val="0"/>
          <w:divBdr>
            <w:top w:val="none" w:sz="0" w:space="0" w:color="auto"/>
            <w:left w:val="none" w:sz="0" w:space="0" w:color="auto"/>
            <w:bottom w:val="none" w:sz="0" w:space="0" w:color="auto"/>
            <w:right w:val="none" w:sz="0" w:space="0" w:color="auto"/>
          </w:divBdr>
        </w:div>
      </w:divsChild>
    </w:div>
    <w:div w:id="1692686277">
      <w:bodyDiv w:val="1"/>
      <w:marLeft w:val="0"/>
      <w:marRight w:val="0"/>
      <w:marTop w:val="0"/>
      <w:marBottom w:val="0"/>
      <w:divBdr>
        <w:top w:val="none" w:sz="0" w:space="0" w:color="auto"/>
        <w:left w:val="none" w:sz="0" w:space="0" w:color="auto"/>
        <w:bottom w:val="none" w:sz="0" w:space="0" w:color="auto"/>
        <w:right w:val="none" w:sz="0" w:space="0" w:color="auto"/>
      </w:divBdr>
    </w:div>
    <w:div w:id="1761415162">
      <w:bodyDiv w:val="1"/>
      <w:marLeft w:val="0"/>
      <w:marRight w:val="0"/>
      <w:marTop w:val="0"/>
      <w:marBottom w:val="0"/>
      <w:divBdr>
        <w:top w:val="none" w:sz="0" w:space="0" w:color="auto"/>
        <w:left w:val="none" w:sz="0" w:space="0" w:color="auto"/>
        <w:bottom w:val="none" w:sz="0" w:space="0" w:color="auto"/>
        <w:right w:val="none" w:sz="0" w:space="0" w:color="auto"/>
      </w:divBdr>
      <w:divsChild>
        <w:div w:id="668750277">
          <w:marLeft w:val="0"/>
          <w:marRight w:val="0"/>
          <w:marTop w:val="0"/>
          <w:marBottom w:val="0"/>
          <w:divBdr>
            <w:top w:val="none" w:sz="0" w:space="0" w:color="auto"/>
            <w:left w:val="none" w:sz="0" w:space="0" w:color="auto"/>
            <w:bottom w:val="none" w:sz="0" w:space="0" w:color="auto"/>
            <w:right w:val="none" w:sz="0" w:space="0" w:color="auto"/>
          </w:divBdr>
        </w:div>
        <w:div w:id="503477588">
          <w:marLeft w:val="0"/>
          <w:marRight w:val="0"/>
          <w:marTop w:val="0"/>
          <w:marBottom w:val="0"/>
          <w:divBdr>
            <w:top w:val="none" w:sz="0" w:space="0" w:color="auto"/>
            <w:left w:val="none" w:sz="0" w:space="0" w:color="auto"/>
            <w:bottom w:val="none" w:sz="0" w:space="0" w:color="auto"/>
            <w:right w:val="none" w:sz="0" w:space="0" w:color="auto"/>
          </w:divBdr>
        </w:div>
        <w:div w:id="1287273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kvalifikacij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13339-9163-44E2-9373-047E789E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5731</Words>
  <Characters>32668</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Čolak</dc:creator>
  <cp:lastModifiedBy>jbilogla</cp:lastModifiedBy>
  <cp:revision>2</cp:revision>
  <dcterms:created xsi:type="dcterms:W3CDTF">2014-08-22T13:02:00Z</dcterms:created>
  <dcterms:modified xsi:type="dcterms:W3CDTF">2014-08-22T13:02:00Z</dcterms:modified>
</cp:coreProperties>
</file>