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09A" w:rsidRDefault="00A9709A" w:rsidP="00FC3C6D">
      <w:pPr>
        <w:jc w:val="center"/>
        <w:rPr>
          <w:rFonts w:ascii="Times New Roman" w:hAnsi="Times New Roman" w:cs="Times New Roman"/>
          <w:b/>
          <w:sz w:val="24"/>
          <w:szCs w:val="24"/>
        </w:rPr>
      </w:pPr>
    </w:p>
    <w:p w:rsidR="00DC5D34" w:rsidRDefault="00DC5D34" w:rsidP="00DC5D34">
      <w:pPr>
        <w:jc w:val="center"/>
        <w:rPr>
          <w:rFonts w:ascii="Times New Roman" w:hAnsi="Times New Roman" w:cs="Times New Roman"/>
          <w:b/>
          <w:sz w:val="24"/>
          <w:szCs w:val="24"/>
        </w:rPr>
      </w:pPr>
      <w:r>
        <w:rPr>
          <w:rFonts w:ascii="Times New Roman" w:hAnsi="Times New Roman" w:cs="Times New Roman"/>
          <w:b/>
          <w:sz w:val="24"/>
          <w:szCs w:val="24"/>
        </w:rPr>
        <w:t>9. ULOGA SEKTORSKIH VIJEĆA U REFORMI OBRAZOVANJA</w:t>
      </w:r>
    </w:p>
    <w:p w:rsidR="00DC5D34" w:rsidRPr="00DC5D34" w:rsidRDefault="00DC5D34" w:rsidP="00DC5D34">
      <w:pPr>
        <w:tabs>
          <w:tab w:val="left" w:pos="4111"/>
        </w:tabs>
        <w:spacing w:before="240"/>
        <w:rPr>
          <w:rFonts w:ascii="Times New Roman" w:hAnsi="Times New Roman" w:cs="Times New Roman"/>
          <w:sz w:val="24"/>
          <w:szCs w:val="24"/>
        </w:rPr>
      </w:pPr>
      <w:r>
        <w:rPr>
          <w:rFonts w:ascii="Times New Roman" w:hAnsi="Times New Roman" w:cs="Times New Roman"/>
          <w:caps/>
          <w:sz w:val="24"/>
          <w:szCs w:val="24"/>
        </w:rPr>
        <w:tab/>
      </w:r>
      <w:proofErr w:type="spellStart"/>
      <w:r w:rsidRPr="005B1CA5">
        <w:rPr>
          <w:rFonts w:ascii="Times New Roman" w:hAnsi="Times New Roman" w:cs="Times New Roman"/>
          <w:caps/>
          <w:sz w:val="24"/>
          <w:szCs w:val="24"/>
        </w:rPr>
        <w:t>k</w:t>
      </w:r>
      <w:r w:rsidRPr="005B1CA5">
        <w:rPr>
          <w:rFonts w:ascii="Times New Roman" w:hAnsi="Times New Roman" w:cs="Times New Roman"/>
          <w:sz w:val="24"/>
          <w:szCs w:val="24"/>
        </w:rPr>
        <w:t>nowledge</w:t>
      </w:r>
      <w:proofErr w:type="spellEnd"/>
      <w:r w:rsidRPr="005B1CA5">
        <w:rPr>
          <w:rFonts w:ascii="Times New Roman" w:hAnsi="Times New Roman" w:cs="Times New Roman"/>
          <w:sz w:val="24"/>
          <w:szCs w:val="24"/>
        </w:rPr>
        <w:t xml:space="preserve"> </w:t>
      </w:r>
      <w:proofErr w:type="spellStart"/>
      <w:r w:rsidRPr="005B1CA5">
        <w:rPr>
          <w:rFonts w:ascii="Times New Roman" w:hAnsi="Times New Roman" w:cs="Times New Roman"/>
          <w:sz w:val="24"/>
          <w:szCs w:val="24"/>
        </w:rPr>
        <w:t>café</w:t>
      </w:r>
      <w:bookmarkStart w:id="0" w:name="_GoBack"/>
      <w:bookmarkEnd w:id="0"/>
      <w:proofErr w:type="spellEnd"/>
    </w:p>
    <w:p w:rsidR="00DC5D34" w:rsidRPr="00F46870" w:rsidRDefault="00DC5D34" w:rsidP="00DC5D34">
      <w:pPr>
        <w:pStyle w:val="ListParagraph"/>
        <w:numPr>
          <w:ilvl w:val="0"/>
          <w:numId w:val="3"/>
        </w:numPr>
        <w:spacing w:after="0" w:line="240" w:lineRule="auto"/>
        <w:ind w:left="426"/>
        <w:jc w:val="both"/>
        <w:rPr>
          <w:rFonts w:ascii="Times New Roman" w:hAnsi="Times New Roman" w:cs="Times New Roman"/>
          <w:sz w:val="24"/>
          <w:szCs w:val="24"/>
        </w:rPr>
      </w:pPr>
      <w:r w:rsidRPr="00F46870">
        <w:rPr>
          <w:rFonts w:ascii="Times New Roman" w:hAnsi="Times New Roman" w:cs="Times New Roman"/>
          <w:sz w:val="24"/>
          <w:szCs w:val="24"/>
        </w:rPr>
        <w:t>U transformacijskim i reformskim tipovima kvalifikacijskih okvira ulogu odobravanja standarda kvalifikacije, a ponekad i njihovog razvoja preuzimaju sektorska vijeća, dionički sastavljena tijela koja uključuju i sektorske eksperte.</w:t>
      </w:r>
    </w:p>
    <w:p w:rsidR="00DC5D34" w:rsidRPr="00F46870" w:rsidRDefault="00DC5D34" w:rsidP="00DC5D34">
      <w:pPr>
        <w:pStyle w:val="ListParagraph"/>
        <w:numPr>
          <w:ilvl w:val="0"/>
          <w:numId w:val="3"/>
        </w:numPr>
        <w:spacing w:after="0" w:line="240" w:lineRule="auto"/>
        <w:ind w:left="426"/>
        <w:jc w:val="both"/>
        <w:rPr>
          <w:rFonts w:ascii="Times New Roman" w:hAnsi="Times New Roman" w:cs="Times New Roman"/>
          <w:sz w:val="24"/>
          <w:szCs w:val="24"/>
        </w:rPr>
      </w:pPr>
      <w:r w:rsidRPr="00F46870">
        <w:rPr>
          <w:rFonts w:ascii="Times New Roman" w:hAnsi="Times New Roman" w:cs="Times New Roman"/>
          <w:sz w:val="24"/>
          <w:szCs w:val="24"/>
        </w:rPr>
        <w:t>Struktura upravljanja unutar HKO organizirana je na način da se strateškim upravljanjem bavi Nacionalno vijeće za razvoj ljudskih potencijala, dionički sastavljeno tijelo imenovano od strane Hrvatskog Sabora.</w:t>
      </w:r>
    </w:p>
    <w:p w:rsidR="00DC5D34" w:rsidRPr="00F46870" w:rsidRDefault="00DC5D34" w:rsidP="00DC5D34">
      <w:pPr>
        <w:pStyle w:val="ListParagraph"/>
        <w:numPr>
          <w:ilvl w:val="0"/>
          <w:numId w:val="3"/>
        </w:numPr>
        <w:spacing w:after="0" w:line="240" w:lineRule="auto"/>
        <w:ind w:left="426"/>
        <w:jc w:val="both"/>
        <w:rPr>
          <w:rFonts w:ascii="Times New Roman" w:hAnsi="Times New Roman" w:cs="Times New Roman"/>
          <w:sz w:val="24"/>
          <w:szCs w:val="24"/>
        </w:rPr>
      </w:pPr>
      <w:r w:rsidRPr="00F46870">
        <w:rPr>
          <w:rFonts w:ascii="Times New Roman" w:hAnsi="Times New Roman" w:cs="Times New Roman"/>
          <w:sz w:val="24"/>
          <w:szCs w:val="24"/>
        </w:rPr>
        <w:t>Operativnu ulogu preuzimaju ministarstva obrazovanja i rada te stručne agencije u sustavu obrazovanja, dok su uvedena i sektorska vijeća koja su zadužena za razvoj sektora te za odobravanje standarda kvalifikacija i</w:t>
      </w:r>
      <w:r>
        <w:rPr>
          <w:rFonts w:ascii="Times New Roman" w:hAnsi="Times New Roman" w:cs="Times New Roman"/>
          <w:sz w:val="24"/>
          <w:szCs w:val="24"/>
        </w:rPr>
        <w:t xml:space="preserve"> zanimanja u pojedinom sektoru.</w:t>
      </w:r>
    </w:p>
    <w:p w:rsidR="00DC5D34" w:rsidRPr="00F46870" w:rsidRDefault="00DC5D34" w:rsidP="00DC5D34">
      <w:pPr>
        <w:pStyle w:val="ListParagraph"/>
        <w:numPr>
          <w:ilvl w:val="0"/>
          <w:numId w:val="3"/>
        </w:numPr>
        <w:spacing w:after="0" w:line="240" w:lineRule="auto"/>
        <w:ind w:left="426"/>
        <w:jc w:val="both"/>
        <w:rPr>
          <w:rFonts w:ascii="Times New Roman" w:hAnsi="Times New Roman" w:cs="Times New Roman"/>
          <w:sz w:val="24"/>
          <w:szCs w:val="24"/>
        </w:rPr>
      </w:pPr>
      <w:r w:rsidRPr="00F46870">
        <w:rPr>
          <w:rFonts w:ascii="Times New Roman" w:hAnsi="Times New Roman" w:cs="Times New Roman"/>
          <w:sz w:val="24"/>
          <w:szCs w:val="24"/>
        </w:rPr>
        <w:t>Danas je ovakav pristup vrlo popularan i mnogi kvalifikacijski okviri unutar svoje organizacijske strukture imaju ovakva tijela, pri čemu za potrebe detaljnije analize valja uvesti nešto finiju podjelu koja ih dijeli na transverzalna vijeća (koja obično pokrivaju više gospodarskih ili obrazovnih sektora) i sektorska vijeća koja imaju iste uloge ali pokr</w:t>
      </w:r>
      <w:r>
        <w:rPr>
          <w:rFonts w:ascii="Times New Roman" w:hAnsi="Times New Roman" w:cs="Times New Roman"/>
          <w:sz w:val="24"/>
          <w:szCs w:val="24"/>
        </w:rPr>
        <w:t>ivaju obično samo jedan sektor.</w:t>
      </w:r>
    </w:p>
    <w:p w:rsidR="00DC5D34" w:rsidRPr="00DC5D34" w:rsidRDefault="00DC5D34" w:rsidP="00DC5D34">
      <w:pPr>
        <w:spacing w:line="240" w:lineRule="auto"/>
        <w:jc w:val="both"/>
        <w:rPr>
          <w:rFonts w:ascii="Times New Roman" w:hAnsi="Times New Roman" w:cs="Times New Roman"/>
          <w:sz w:val="24"/>
          <w:szCs w:val="24"/>
        </w:rPr>
      </w:pPr>
    </w:p>
    <w:p w:rsidR="00DC5D34" w:rsidRPr="00F46870" w:rsidRDefault="00DC5D34" w:rsidP="00DC5D34">
      <w:pPr>
        <w:spacing w:line="240" w:lineRule="auto"/>
        <w:jc w:val="both"/>
        <w:rPr>
          <w:rFonts w:ascii="Times New Roman" w:hAnsi="Times New Roman" w:cs="Times New Roman"/>
          <w:sz w:val="24"/>
          <w:szCs w:val="24"/>
        </w:rPr>
      </w:pPr>
      <w:r w:rsidRPr="00F46870">
        <w:rPr>
          <w:rFonts w:ascii="Times New Roman" w:hAnsi="Times New Roman" w:cs="Times New Roman"/>
          <w:sz w:val="24"/>
          <w:szCs w:val="24"/>
        </w:rPr>
        <w:t>U</w:t>
      </w:r>
      <w:r>
        <w:rPr>
          <w:rFonts w:ascii="Times New Roman" w:hAnsi="Times New Roman" w:cs="Times New Roman"/>
          <w:sz w:val="24"/>
          <w:szCs w:val="24"/>
        </w:rPr>
        <w:t xml:space="preserve"> Hrvatskoj se ustrojava</w:t>
      </w:r>
      <w:r w:rsidRPr="00F46870">
        <w:rPr>
          <w:rFonts w:ascii="Times New Roman" w:hAnsi="Times New Roman" w:cs="Times New Roman"/>
          <w:sz w:val="24"/>
          <w:szCs w:val="24"/>
        </w:rPr>
        <w:t xml:space="preserve"> ukupno 25 + 1 sektorsko vijeće, i to :</w:t>
      </w:r>
    </w:p>
    <w:p w:rsidR="00DC5D34" w:rsidRPr="00C95BD6" w:rsidRDefault="00DC5D34" w:rsidP="00DC5D34">
      <w:pPr>
        <w:pStyle w:val="ListParagraph"/>
        <w:numPr>
          <w:ilvl w:val="0"/>
          <w:numId w:val="6"/>
        </w:numPr>
        <w:spacing w:after="0" w:line="240" w:lineRule="auto"/>
        <w:ind w:left="426"/>
        <w:jc w:val="both"/>
        <w:rPr>
          <w:rFonts w:ascii="Times New Roman" w:hAnsi="Times New Roman" w:cs="Times New Roman"/>
          <w:color w:val="000000"/>
          <w:sz w:val="24"/>
          <w:szCs w:val="24"/>
        </w:rPr>
      </w:pPr>
      <w:r w:rsidRPr="00C95BD6">
        <w:rPr>
          <w:rFonts w:ascii="Times New Roman" w:hAnsi="Times New Roman" w:cs="Times New Roman"/>
          <w:sz w:val="24"/>
          <w:szCs w:val="24"/>
        </w:rPr>
        <w:t>13 koja pokrivaju strukovne sektore na svim obrazovnim razinama (npr. elektrotehnika i računarstvo)</w:t>
      </w:r>
    </w:p>
    <w:p w:rsidR="00DC5D34" w:rsidRPr="00C95BD6" w:rsidRDefault="00DC5D34" w:rsidP="00DC5D34">
      <w:pPr>
        <w:pStyle w:val="ListParagraph"/>
        <w:numPr>
          <w:ilvl w:val="0"/>
          <w:numId w:val="6"/>
        </w:numPr>
        <w:spacing w:after="0" w:line="240" w:lineRule="auto"/>
        <w:ind w:left="426"/>
        <w:jc w:val="both"/>
        <w:rPr>
          <w:rFonts w:ascii="Times New Roman" w:hAnsi="Times New Roman" w:cs="Times New Roman"/>
          <w:color w:val="000000"/>
          <w:sz w:val="24"/>
          <w:szCs w:val="24"/>
        </w:rPr>
      </w:pPr>
      <w:r w:rsidRPr="00C95BD6">
        <w:rPr>
          <w:rFonts w:ascii="Times New Roman" w:hAnsi="Times New Roman" w:cs="Times New Roman"/>
          <w:sz w:val="24"/>
          <w:szCs w:val="24"/>
        </w:rPr>
        <w:t>12 koja pokrivaju opće sektore (npr. fizika) i 1 interdisciplinarno vijeće.</w:t>
      </w:r>
    </w:p>
    <w:p w:rsidR="00DC5D34" w:rsidRPr="00F46870" w:rsidRDefault="00DC5D34" w:rsidP="00DC5D34">
      <w:pPr>
        <w:spacing w:line="240" w:lineRule="auto"/>
        <w:jc w:val="both"/>
        <w:rPr>
          <w:rFonts w:ascii="Times New Roman" w:hAnsi="Times New Roman" w:cs="Times New Roman"/>
          <w:sz w:val="24"/>
          <w:szCs w:val="24"/>
        </w:rPr>
      </w:pPr>
    </w:p>
    <w:p w:rsidR="00DC5D34" w:rsidRPr="00F46870" w:rsidRDefault="00DC5D34" w:rsidP="00DC5D34">
      <w:pPr>
        <w:spacing w:line="240" w:lineRule="auto"/>
        <w:jc w:val="both"/>
        <w:rPr>
          <w:rFonts w:ascii="Times New Roman" w:hAnsi="Times New Roman" w:cs="Times New Roman"/>
          <w:sz w:val="24"/>
          <w:szCs w:val="24"/>
        </w:rPr>
      </w:pPr>
      <w:r w:rsidRPr="00F46870">
        <w:rPr>
          <w:rFonts w:ascii="Times New Roman" w:hAnsi="Times New Roman" w:cs="Times New Roman"/>
          <w:sz w:val="24"/>
          <w:szCs w:val="24"/>
        </w:rPr>
        <w:t>Vijeća su sastavljena od ukupno 11 članova</w:t>
      </w:r>
      <w:r>
        <w:rPr>
          <w:rFonts w:ascii="Times New Roman" w:hAnsi="Times New Roman" w:cs="Times New Roman"/>
          <w:sz w:val="24"/>
          <w:szCs w:val="24"/>
        </w:rPr>
        <w:t>,</w:t>
      </w:r>
      <w:r w:rsidRPr="00F46870">
        <w:rPr>
          <w:rFonts w:ascii="Times New Roman" w:hAnsi="Times New Roman" w:cs="Times New Roman"/>
          <w:sz w:val="24"/>
          <w:szCs w:val="24"/>
        </w:rPr>
        <w:t xml:space="preserve"> i to:</w:t>
      </w:r>
    </w:p>
    <w:p w:rsidR="00DC5D34" w:rsidRPr="00C95BD6" w:rsidRDefault="00DC5D34" w:rsidP="00DC5D34">
      <w:pPr>
        <w:pStyle w:val="ListParagraph"/>
        <w:numPr>
          <w:ilvl w:val="0"/>
          <w:numId w:val="5"/>
        </w:numPr>
        <w:spacing w:after="0" w:line="240" w:lineRule="auto"/>
        <w:ind w:left="426"/>
        <w:jc w:val="both"/>
        <w:rPr>
          <w:rFonts w:ascii="Times New Roman" w:hAnsi="Times New Roman" w:cs="Times New Roman"/>
          <w:color w:val="000000"/>
          <w:sz w:val="24"/>
          <w:szCs w:val="24"/>
        </w:rPr>
      </w:pPr>
      <w:r w:rsidRPr="00C95BD6">
        <w:rPr>
          <w:rFonts w:ascii="Times New Roman" w:hAnsi="Times New Roman" w:cs="Times New Roman"/>
          <w:sz w:val="24"/>
          <w:szCs w:val="24"/>
        </w:rPr>
        <w:t>predstavnika ministarstva zaduženog za sektor</w:t>
      </w:r>
    </w:p>
    <w:p w:rsidR="00DC5D34" w:rsidRPr="00C95BD6" w:rsidRDefault="00DC5D34" w:rsidP="00DC5D34">
      <w:pPr>
        <w:pStyle w:val="ListParagraph"/>
        <w:numPr>
          <w:ilvl w:val="0"/>
          <w:numId w:val="5"/>
        </w:numPr>
        <w:spacing w:after="0" w:line="240" w:lineRule="auto"/>
        <w:ind w:left="426"/>
        <w:jc w:val="both"/>
        <w:rPr>
          <w:rFonts w:ascii="Times New Roman" w:hAnsi="Times New Roman" w:cs="Times New Roman"/>
          <w:color w:val="000000"/>
          <w:sz w:val="24"/>
          <w:szCs w:val="24"/>
        </w:rPr>
      </w:pPr>
      <w:r w:rsidRPr="00C95BD6">
        <w:rPr>
          <w:rFonts w:ascii="Times New Roman" w:hAnsi="Times New Roman" w:cs="Times New Roman"/>
          <w:sz w:val="24"/>
          <w:szCs w:val="24"/>
        </w:rPr>
        <w:t>predstavnika zavoda za zapošljavanje</w:t>
      </w:r>
    </w:p>
    <w:p w:rsidR="00DC5D34" w:rsidRPr="00C95BD6" w:rsidRDefault="00DC5D34" w:rsidP="00DC5D34">
      <w:pPr>
        <w:pStyle w:val="ListParagraph"/>
        <w:numPr>
          <w:ilvl w:val="0"/>
          <w:numId w:val="5"/>
        </w:numPr>
        <w:spacing w:after="0" w:line="240" w:lineRule="auto"/>
        <w:ind w:left="426"/>
        <w:jc w:val="both"/>
        <w:rPr>
          <w:rFonts w:ascii="Times New Roman" w:hAnsi="Times New Roman" w:cs="Times New Roman"/>
          <w:color w:val="000000"/>
          <w:sz w:val="24"/>
          <w:szCs w:val="24"/>
        </w:rPr>
      </w:pPr>
      <w:r w:rsidRPr="00C95BD6">
        <w:rPr>
          <w:rFonts w:ascii="Times New Roman" w:hAnsi="Times New Roman" w:cs="Times New Roman"/>
          <w:sz w:val="24"/>
          <w:szCs w:val="24"/>
        </w:rPr>
        <w:t>predstavnika agencija u sustavu obrazovanja (tzv. rotirajuća pozicija)</w:t>
      </w:r>
    </w:p>
    <w:p w:rsidR="00DC5D34" w:rsidRPr="00C95BD6" w:rsidRDefault="00DC5D34" w:rsidP="00DC5D34">
      <w:pPr>
        <w:pStyle w:val="ListParagraph"/>
        <w:numPr>
          <w:ilvl w:val="0"/>
          <w:numId w:val="5"/>
        </w:numPr>
        <w:spacing w:after="0" w:line="240" w:lineRule="auto"/>
        <w:ind w:left="426"/>
        <w:jc w:val="both"/>
        <w:rPr>
          <w:rFonts w:ascii="Times New Roman" w:hAnsi="Times New Roman" w:cs="Times New Roman"/>
          <w:color w:val="000000"/>
          <w:sz w:val="24"/>
          <w:szCs w:val="24"/>
        </w:rPr>
      </w:pPr>
      <w:r w:rsidRPr="00C95BD6">
        <w:rPr>
          <w:rFonts w:ascii="Times New Roman" w:hAnsi="Times New Roman" w:cs="Times New Roman"/>
          <w:sz w:val="24"/>
          <w:szCs w:val="24"/>
        </w:rPr>
        <w:t>osam sektorskih stručnjaka iz obrazovnog sektora i reprezentativnih sindikata obrazovnog sektora, reprezentativnih sindikata organiziranih u gospodarskom sektoru, udruga poslodavaca i drugih organizacija civilnog društva koji djeluju u sektoru za koji se osniva vijeće.</w:t>
      </w:r>
    </w:p>
    <w:p w:rsidR="00DC5D34" w:rsidRPr="00F46870" w:rsidRDefault="00DC5D34" w:rsidP="00DC5D34">
      <w:pPr>
        <w:spacing w:line="240" w:lineRule="auto"/>
        <w:jc w:val="both"/>
        <w:rPr>
          <w:rFonts w:ascii="Times New Roman" w:hAnsi="Times New Roman" w:cs="Times New Roman"/>
          <w:sz w:val="24"/>
          <w:szCs w:val="24"/>
        </w:rPr>
      </w:pPr>
    </w:p>
    <w:p w:rsidR="00DC5D34" w:rsidRPr="00F46870" w:rsidRDefault="00DC5D34" w:rsidP="00DC5D34">
      <w:pPr>
        <w:spacing w:line="240" w:lineRule="auto"/>
        <w:jc w:val="both"/>
        <w:rPr>
          <w:rFonts w:ascii="Times New Roman" w:hAnsi="Times New Roman" w:cs="Times New Roman"/>
          <w:sz w:val="24"/>
          <w:szCs w:val="24"/>
        </w:rPr>
      </w:pPr>
      <w:r w:rsidRPr="00F46870">
        <w:rPr>
          <w:rFonts w:ascii="Times New Roman" w:hAnsi="Times New Roman" w:cs="Times New Roman"/>
          <w:sz w:val="24"/>
          <w:szCs w:val="24"/>
        </w:rPr>
        <w:t>Ključne uloge svakog od sektorskih vijeća su:</w:t>
      </w:r>
    </w:p>
    <w:p w:rsidR="00DC5D34" w:rsidRPr="00C95BD6" w:rsidRDefault="00DC5D34" w:rsidP="00DC5D34">
      <w:pPr>
        <w:pStyle w:val="ListParagraph"/>
        <w:numPr>
          <w:ilvl w:val="0"/>
          <w:numId w:val="4"/>
        </w:numPr>
        <w:spacing w:after="0" w:line="240" w:lineRule="auto"/>
        <w:ind w:left="426"/>
        <w:jc w:val="both"/>
        <w:rPr>
          <w:rFonts w:ascii="Times New Roman" w:hAnsi="Times New Roman" w:cs="Times New Roman"/>
          <w:color w:val="000000"/>
          <w:sz w:val="24"/>
          <w:szCs w:val="24"/>
        </w:rPr>
      </w:pPr>
      <w:r w:rsidRPr="00C95BD6">
        <w:rPr>
          <w:rFonts w:ascii="Times New Roman" w:hAnsi="Times New Roman" w:cs="Times New Roman"/>
          <w:color w:val="000000"/>
          <w:sz w:val="24"/>
          <w:szCs w:val="24"/>
        </w:rPr>
        <w:t>vrednovanje prijedloga skupova ishoda učenja, standarda zanimanja i standarda kvalifikacija</w:t>
      </w:r>
    </w:p>
    <w:p w:rsidR="00DC5D34" w:rsidRPr="00C95BD6" w:rsidRDefault="00DC5D34" w:rsidP="00DC5D34">
      <w:pPr>
        <w:pStyle w:val="ListParagraph"/>
        <w:numPr>
          <w:ilvl w:val="0"/>
          <w:numId w:val="4"/>
        </w:numPr>
        <w:spacing w:after="0" w:line="240" w:lineRule="auto"/>
        <w:ind w:left="426"/>
        <w:jc w:val="both"/>
        <w:rPr>
          <w:rFonts w:ascii="Times New Roman" w:hAnsi="Times New Roman" w:cs="Times New Roman"/>
          <w:color w:val="000000"/>
          <w:sz w:val="24"/>
          <w:szCs w:val="24"/>
        </w:rPr>
      </w:pPr>
      <w:r w:rsidRPr="00C95BD6">
        <w:rPr>
          <w:rFonts w:ascii="Times New Roman" w:hAnsi="Times New Roman" w:cs="Times New Roman"/>
          <w:color w:val="000000"/>
          <w:sz w:val="24"/>
          <w:szCs w:val="24"/>
        </w:rPr>
        <w:t>analiza postojećih i potrebnih kompetencija unutar sektora</w:t>
      </w:r>
    </w:p>
    <w:p w:rsidR="00DC5D34" w:rsidRPr="00C95BD6" w:rsidRDefault="00DC5D34" w:rsidP="00DC5D34">
      <w:pPr>
        <w:pStyle w:val="ListParagraph"/>
        <w:numPr>
          <w:ilvl w:val="0"/>
          <w:numId w:val="4"/>
        </w:numPr>
        <w:spacing w:after="0" w:line="240" w:lineRule="auto"/>
        <w:ind w:left="426"/>
        <w:jc w:val="both"/>
        <w:rPr>
          <w:rFonts w:ascii="Times New Roman" w:hAnsi="Times New Roman" w:cs="Times New Roman"/>
          <w:color w:val="000000"/>
          <w:sz w:val="24"/>
          <w:szCs w:val="24"/>
        </w:rPr>
      </w:pPr>
      <w:r w:rsidRPr="00C95BD6">
        <w:rPr>
          <w:rFonts w:ascii="Times New Roman" w:hAnsi="Times New Roman" w:cs="Times New Roman"/>
          <w:color w:val="000000"/>
          <w:sz w:val="24"/>
          <w:szCs w:val="24"/>
        </w:rPr>
        <w:t>davanje preporuke o upisnoj politici, upisnim kvotama i financiranju kvalifikacija iz javnih izvora</w:t>
      </w:r>
    </w:p>
    <w:p w:rsidR="00DC5D34" w:rsidRPr="00C95BD6" w:rsidRDefault="00DC5D34" w:rsidP="00DC5D34">
      <w:pPr>
        <w:pStyle w:val="ListParagraph"/>
        <w:numPr>
          <w:ilvl w:val="0"/>
          <w:numId w:val="4"/>
        </w:numPr>
        <w:spacing w:after="0" w:line="240" w:lineRule="auto"/>
        <w:ind w:left="426"/>
        <w:jc w:val="both"/>
        <w:rPr>
          <w:rFonts w:ascii="Times New Roman" w:hAnsi="Times New Roman" w:cs="Times New Roman"/>
          <w:color w:val="000000"/>
          <w:sz w:val="24"/>
          <w:szCs w:val="24"/>
        </w:rPr>
      </w:pPr>
      <w:r w:rsidRPr="00C95BD6">
        <w:rPr>
          <w:rFonts w:ascii="Times New Roman" w:hAnsi="Times New Roman" w:cs="Times New Roman"/>
          <w:color w:val="000000"/>
          <w:sz w:val="24"/>
          <w:szCs w:val="24"/>
        </w:rPr>
        <w:t>davanje preporuka za promjene u standardima kvalifikacija</w:t>
      </w:r>
    </w:p>
    <w:p w:rsidR="00DC5D34" w:rsidRPr="00C95BD6" w:rsidRDefault="00DC5D34" w:rsidP="00DC5D34">
      <w:pPr>
        <w:pStyle w:val="ListParagraph"/>
        <w:numPr>
          <w:ilvl w:val="0"/>
          <w:numId w:val="4"/>
        </w:numPr>
        <w:spacing w:after="0" w:line="240" w:lineRule="auto"/>
        <w:ind w:left="426"/>
        <w:jc w:val="both"/>
        <w:rPr>
          <w:rFonts w:ascii="Times New Roman" w:hAnsi="Times New Roman" w:cs="Times New Roman"/>
          <w:color w:val="000000"/>
          <w:sz w:val="24"/>
          <w:szCs w:val="24"/>
        </w:rPr>
      </w:pPr>
      <w:r w:rsidRPr="00C95BD6">
        <w:rPr>
          <w:rFonts w:ascii="Times New Roman" w:hAnsi="Times New Roman" w:cs="Times New Roman"/>
          <w:color w:val="000000"/>
          <w:sz w:val="24"/>
          <w:szCs w:val="24"/>
        </w:rPr>
        <w:t>davanje preporuka za promjene u Nacionalnoj klasifikaciji zanimanja</w:t>
      </w:r>
    </w:p>
    <w:p w:rsidR="00DC5D34" w:rsidRPr="00C95BD6" w:rsidRDefault="00DC5D34" w:rsidP="00DC5D34">
      <w:pPr>
        <w:pStyle w:val="ListParagraph"/>
        <w:numPr>
          <w:ilvl w:val="0"/>
          <w:numId w:val="4"/>
        </w:numPr>
        <w:spacing w:after="0" w:line="240" w:lineRule="auto"/>
        <w:ind w:left="426"/>
        <w:jc w:val="both"/>
        <w:rPr>
          <w:rFonts w:ascii="Times New Roman" w:hAnsi="Times New Roman" w:cs="Times New Roman"/>
          <w:color w:val="000000"/>
          <w:sz w:val="24"/>
          <w:szCs w:val="24"/>
        </w:rPr>
      </w:pPr>
      <w:r w:rsidRPr="00C95BD6">
        <w:rPr>
          <w:rFonts w:ascii="Times New Roman" w:hAnsi="Times New Roman" w:cs="Times New Roman"/>
          <w:color w:val="000000"/>
          <w:sz w:val="24"/>
          <w:szCs w:val="24"/>
        </w:rPr>
        <w:t>davanje preporuka za razvoj sektora.</w:t>
      </w:r>
    </w:p>
    <w:sectPr w:rsidR="00DC5D34" w:rsidRPr="00C95BD6" w:rsidSect="00FC3C6D">
      <w:headerReference w:type="default" r:id="rId9"/>
      <w:footerReference w:type="default" r:id="rId10"/>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09A" w:rsidRDefault="00A9709A" w:rsidP="00A9709A">
      <w:pPr>
        <w:spacing w:after="0" w:line="240" w:lineRule="auto"/>
      </w:pPr>
      <w:r>
        <w:separator/>
      </w:r>
    </w:p>
  </w:endnote>
  <w:endnote w:type="continuationSeparator" w:id="0">
    <w:p w:rsidR="00A9709A" w:rsidRDefault="00A9709A" w:rsidP="00A97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09A" w:rsidRDefault="00A9709A">
    <w:pPr>
      <w:pStyle w:val="Footer"/>
    </w:pPr>
    <w:r w:rsidRPr="00A9709A">
      <w:rPr>
        <w:noProof/>
        <w:lang w:eastAsia="hr-HR"/>
      </w:rPr>
      <w:drawing>
        <wp:anchor distT="0" distB="0" distL="114300" distR="114300" simplePos="0" relativeHeight="251665408" behindDoc="0" locked="0" layoutInCell="1" allowOverlap="1" wp14:anchorId="543514C1" wp14:editId="136A23F5">
          <wp:simplePos x="0" y="0"/>
          <wp:positionH relativeFrom="column">
            <wp:posOffset>-521335</wp:posOffset>
          </wp:positionH>
          <wp:positionV relativeFrom="paragraph">
            <wp:posOffset>-264795</wp:posOffset>
          </wp:positionV>
          <wp:extent cx="735965" cy="580390"/>
          <wp:effectExtent l="0" t="0" r="6985"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580390"/>
                  </a:xfrm>
                  <a:prstGeom prst="rect">
                    <a:avLst/>
                  </a:prstGeom>
                  <a:noFill/>
                </pic:spPr>
              </pic:pic>
            </a:graphicData>
          </a:graphic>
          <wp14:sizeRelH relativeFrom="margin">
            <wp14:pctWidth>0</wp14:pctWidth>
          </wp14:sizeRelH>
          <wp14:sizeRelV relativeFrom="margin">
            <wp14:pctHeight>0</wp14:pctHeight>
          </wp14:sizeRelV>
        </wp:anchor>
      </w:drawing>
    </w:r>
    <w:r w:rsidRPr="00A9709A">
      <w:rPr>
        <w:noProof/>
        <w:lang w:eastAsia="hr-HR"/>
      </w:rPr>
      <mc:AlternateContent>
        <mc:Choice Requires="wps">
          <w:drawing>
            <wp:anchor distT="0" distB="0" distL="114300" distR="114300" simplePos="0" relativeHeight="251664384" behindDoc="0" locked="0" layoutInCell="1" allowOverlap="1" wp14:anchorId="69F21A6F" wp14:editId="07ED0984">
              <wp:simplePos x="0" y="0"/>
              <wp:positionH relativeFrom="column">
                <wp:posOffset>213360</wp:posOffset>
              </wp:positionH>
              <wp:positionV relativeFrom="paragraph">
                <wp:posOffset>-346075</wp:posOffset>
              </wp:positionV>
              <wp:extent cx="1238250" cy="86677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866775"/>
                      </a:xfrm>
                      <a:prstGeom prst="rect">
                        <a:avLst/>
                      </a:prstGeom>
                      <a:noFill/>
                      <a:ln w="9525">
                        <a:noFill/>
                        <a:miter lim="800000"/>
                        <a:headEnd/>
                        <a:tailEnd/>
                      </a:ln>
                    </wps:spPr>
                    <wps:txbx>
                      <w:txbxContent>
                        <w:p w:rsidR="00A9709A" w:rsidRPr="00A9709A" w:rsidRDefault="00A9709A" w:rsidP="00A9709A">
                          <w:pPr>
                            <w:jc w:val="both"/>
                            <w:rPr>
                              <w:rFonts w:ascii="Calibri" w:hAnsi="Calibri" w:cs="Lucida Sans Unicode"/>
                              <w:i/>
                              <w:color w:val="0E1266"/>
                              <w:sz w:val="14"/>
                              <w:lang w:eastAsia="zh-CN"/>
                            </w:rPr>
                          </w:pPr>
                          <w:r w:rsidRPr="00A9709A">
                            <w:rPr>
                              <w:rFonts w:ascii="Calibri" w:hAnsi="Calibri" w:cs="Lucida Sans Unicode"/>
                              <w:i/>
                              <w:color w:val="0E1266"/>
                              <w:sz w:val="14"/>
                              <w:lang w:eastAsia="zh-CN"/>
                            </w:rPr>
                            <w:t>Organizacija konferencije sufinancirana je u okviru Operativnog programa Učinkoviti ljudski potencijali, iz Europskoga socijalnog fonda.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8pt;margin-top:-27.25pt;width:97.5pt;height:6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" filled="f" stroked="f">
              <v:textbox>
                <w:txbxContent>
                  <w:p w:rsidR="00A9709A" w:rsidRPr="00A9709A" w:rsidRDefault="00A9709A" w:rsidP="00A9709A">
                    <w:pPr>
                      <w:jc w:val="both"/>
                      <w:rPr>
                        <w:rFonts w:ascii="Calibri" w:hAnsi="Calibri" w:cs="Lucida Sans Unicode"/>
                        <w:i/>
                        <w:color w:val="0E1266"/>
                        <w:sz w:val="14"/>
                        <w:lang w:eastAsia="zh-CN"/>
                      </w:rPr>
                    </w:pPr>
                    <w:r w:rsidRPr="00A9709A">
                      <w:rPr>
                        <w:rFonts w:ascii="Calibri" w:hAnsi="Calibri" w:cs="Lucida Sans Unicode"/>
                        <w:i/>
                        <w:color w:val="0E1266"/>
                        <w:sz w:val="14"/>
                        <w:lang w:eastAsia="zh-CN"/>
                      </w:rPr>
                      <w:t>Organizacija konferencije sufinancirana je u okviru Operativnog programa Učinkoviti ljudski potencijali, iz Europskoga socijalnog fonda.</w:t>
                    </w:r>
                  </w:p>
                </w:txbxContent>
              </v:textbox>
            </v:shape>
          </w:pict>
        </mc:Fallback>
      </mc:AlternateContent>
    </w:r>
    <w:r w:rsidRPr="00A9709A">
      <w:rPr>
        <w:noProof/>
        <w:lang w:eastAsia="hr-HR"/>
      </w:rPr>
      <w:drawing>
        <wp:anchor distT="0" distB="0" distL="114300" distR="114300" simplePos="0" relativeHeight="251666432" behindDoc="0" locked="0" layoutInCell="1" allowOverlap="1" wp14:anchorId="2B92C3BA" wp14:editId="386B87F1">
          <wp:simplePos x="0" y="0"/>
          <wp:positionH relativeFrom="margin">
            <wp:posOffset>2647950</wp:posOffset>
          </wp:positionH>
          <wp:positionV relativeFrom="paragraph">
            <wp:posOffset>-227330</wp:posOffset>
          </wp:positionV>
          <wp:extent cx="1398270" cy="462280"/>
          <wp:effectExtent l="0" t="0" r="0" b="0"/>
          <wp:wrapNone/>
          <wp:docPr id="5" name="Picture 5" descr="C:\Users\bsvetec\Documents\Barbi Svetec\Logotipovi\Erasmus_nov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svetec\Documents\Barbi Svetec\Logotipovi\Erasmus_novi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98270" cy="462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709A">
      <w:rPr>
        <w:noProof/>
        <w:lang w:eastAsia="hr-HR"/>
      </w:rPr>
      <mc:AlternateContent>
        <mc:Choice Requires="wps">
          <w:drawing>
            <wp:anchor distT="0" distB="0" distL="114300" distR="114300" simplePos="0" relativeHeight="251663360" behindDoc="0" locked="0" layoutInCell="1" allowOverlap="1" wp14:anchorId="104B0C6F" wp14:editId="2A28B6AC">
              <wp:simplePos x="0" y="0"/>
              <wp:positionH relativeFrom="column">
                <wp:posOffset>1451610</wp:posOffset>
              </wp:positionH>
              <wp:positionV relativeFrom="paragraph">
                <wp:posOffset>-317500</wp:posOffset>
              </wp:positionV>
              <wp:extent cx="1190625" cy="8286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828675"/>
                      </a:xfrm>
                      <a:prstGeom prst="rect">
                        <a:avLst/>
                      </a:prstGeom>
                      <a:solidFill>
                        <a:srgbClr val="FFFFFF"/>
                      </a:solidFill>
                      <a:ln w="9525">
                        <a:noFill/>
                        <a:miter lim="800000"/>
                        <a:headEnd/>
                        <a:tailEnd/>
                      </a:ln>
                    </wps:spPr>
                    <wps:txbx>
                      <w:txbxContent>
                        <w:p w:rsidR="00A9709A" w:rsidRPr="00A64466" w:rsidRDefault="00A9709A" w:rsidP="00A9709A">
                          <w:pPr>
                            <w:jc w:val="both"/>
                            <w:rPr>
                              <w:rFonts w:ascii="Calibri" w:hAnsi="Calibri"/>
                              <w:color w:val="0E1266"/>
                              <w:sz w:val="14"/>
                            </w:rPr>
                          </w:pPr>
                          <w:r w:rsidRPr="00A64466">
                            <w:rPr>
                              <w:rFonts w:ascii="Calibri" w:hAnsi="Calibri"/>
                              <w:color w:val="0E1266"/>
                              <w:sz w:val="14"/>
                            </w:rPr>
                            <w:t xml:space="preserve">Projekt </w:t>
                          </w:r>
                          <w:r w:rsidRPr="00A64466">
                            <w:rPr>
                              <w:rFonts w:ascii="Calibri" w:hAnsi="Calibri" w:cs="Lucida Sans Unicode"/>
                              <w:i/>
                              <w:color w:val="0E1266"/>
                              <w:sz w:val="14"/>
                              <w:lang w:eastAsia="zh-CN"/>
                            </w:rPr>
                            <w:t>Uspostava i upravljanje Registrom HKO-a kao podrška radu Sektorskih vijeća i ostalih dionika u procesu provedbe HKO-a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4.3pt;margin-top:-25pt;width:93.75pt;height:6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" stroked="f">
              <v:textbox>
                <w:txbxContent>
                  <w:p w:rsidR="00A9709A" w:rsidRPr="00A64466" w:rsidRDefault="00A9709A" w:rsidP="00A9709A">
                    <w:pPr>
                      <w:jc w:val="both"/>
                      <w:rPr>
                        <w:rFonts w:ascii="Calibri" w:hAnsi="Calibri"/>
                        <w:color w:val="0E1266"/>
                        <w:sz w:val="14"/>
                      </w:rPr>
                    </w:pPr>
                    <w:r w:rsidRPr="00A64466">
                      <w:rPr>
                        <w:rFonts w:ascii="Calibri" w:hAnsi="Calibri"/>
                        <w:color w:val="0E1266"/>
                        <w:sz w:val="14"/>
                      </w:rPr>
                      <w:t xml:space="preserve">Projekt </w:t>
                    </w:r>
                    <w:r w:rsidRPr="00A64466">
                      <w:rPr>
                        <w:rFonts w:ascii="Calibri" w:hAnsi="Calibri" w:cs="Lucida Sans Unicode"/>
                        <w:i/>
                        <w:color w:val="0E1266"/>
                        <w:sz w:val="14"/>
                        <w:lang w:eastAsia="zh-CN"/>
                      </w:rPr>
                      <w:t>Uspostava i upravljanje Registrom HKO-a kao podrška radu Sektorskih vijeća i ostalih dionika u procesu provedbe HKO-a</w:t>
                    </w:r>
                  </w:p>
                </w:txbxContent>
              </v:textbox>
            </v:shape>
          </w:pict>
        </mc:Fallback>
      </mc:AlternateContent>
    </w:r>
    <w:r w:rsidRPr="00A9709A">
      <w:rPr>
        <w:noProof/>
        <w:lang w:eastAsia="hr-HR"/>
      </w:rPr>
      <w:drawing>
        <wp:anchor distT="0" distB="0" distL="114300" distR="114300" simplePos="0" relativeHeight="251667456" behindDoc="1" locked="0" layoutInCell="1" allowOverlap="1" wp14:anchorId="76F4AEBC" wp14:editId="23E062BA">
          <wp:simplePos x="0" y="0"/>
          <wp:positionH relativeFrom="column">
            <wp:posOffset>4051300</wp:posOffset>
          </wp:positionH>
          <wp:positionV relativeFrom="paragraph">
            <wp:posOffset>-467769</wp:posOffset>
          </wp:positionV>
          <wp:extent cx="2696191" cy="989965"/>
          <wp:effectExtent l="0" t="0" r="9525" b="63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9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2696191" cy="98996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09A" w:rsidRDefault="00A9709A" w:rsidP="00A9709A">
      <w:pPr>
        <w:spacing w:after="0" w:line="240" w:lineRule="auto"/>
      </w:pPr>
      <w:r>
        <w:separator/>
      </w:r>
    </w:p>
  </w:footnote>
  <w:footnote w:type="continuationSeparator" w:id="0">
    <w:p w:rsidR="00A9709A" w:rsidRDefault="00A9709A" w:rsidP="00A970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09A" w:rsidRDefault="005B1CA5" w:rsidP="005B1CA5">
    <w:pPr>
      <w:pStyle w:val="Header"/>
      <w:tabs>
        <w:tab w:val="clear" w:pos="4536"/>
        <w:tab w:val="center" w:pos="4820"/>
      </w:tabs>
    </w:pPr>
    <w:r w:rsidRPr="00A9709A">
      <w:rPr>
        <w:noProof/>
        <w:lang w:eastAsia="hr-HR"/>
      </w:rPr>
      <w:drawing>
        <wp:anchor distT="0" distB="0" distL="114300" distR="114300" simplePos="0" relativeHeight="251660288" behindDoc="0" locked="0" layoutInCell="1" allowOverlap="1" wp14:anchorId="67B7489F" wp14:editId="7D69EA81">
          <wp:simplePos x="0" y="0"/>
          <wp:positionH relativeFrom="column">
            <wp:posOffset>1830070</wp:posOffset>
          </wp:positionH>
          <wp:positionV relativeFrom="paragraph">
            <wp:posOffset>-184785</wp:posOffset>
          </wp:positionV>
          <wp:extent cx="2308225" cy="474980"/>
          <wp:effectExtent l="0" t="0" r="0" b="1270"/>
          <wp:wrapNone/>
          <wp:docPr id="4" name="Picture 2" descr="d:\Users\xyxy\Desktop\MZO_logo.jpg"/>
          <wp:cNvGraphicFramePr/>
          <a:graphic xmlns:a="http://schemas.openxmlformats.org/drawingml/2006/main">
            <a:graphicData uri="http://schemas.openxmlformats.org/drawingml/2006/picture">
              <pic:pic xmlns:pic="http://schemas.openxmlformats.org/drawingml/2006/picture">
                <pic:nvPicPr>
                  <pic:cNvPr id="0" name="Picture 2" descr="d:\Users\xyxy\Desktop\MZO_logo.jpg"/>
                  <pic:cNvPicPr>
                    <a:picLocks noChangeAspect="1" noChangeArrowheads="1"/>
                  </pic:cNvPicPr>
                </pic:nvPicPr>
                <pic:blipFill>
                  <a:blip r:embed="rId1"/>
                  <a:srcRect/>
                  <a:stretch>
                    <a:fillRect/>
                  </a:stretch>
                </pic:blipFill>
                <pic:spPr bwMode="auto">
                  <a:xfrm>
                    <a:off x="0" y="0"/>
                    <a:ext cx="2308225" cy="474980"/>
                  </a:xfrm>
                  <a:prstGeom prst="rect">
                    <a:avLst/>
                  </a:prstGeom>
                  <a:noFill/>
                  <a:ln w="9525">
                    <a:noFill/>
                    <a:miter lim="800000"/>
                    <a:headEnd/>
                    <a:tailEnd/>
                  </a:ln>
                </pic:spPr>
              </pic:pic>
            </a:graphicData>
          </a:graphic>
        </wp:anchor>
      </w:drawing>
    </w:r>
    <w:r w:rsidRPr="00A9709A">
      <w:rPr>
        <w:noProof/>
        <w:lang w:eastAsia="hr-HR"/>
      </w:rPr>
      <w:drawing>
        <wp:anchor distT="0" distB="0" distL="114300" distR="114300" simplePos="0" relativeHeight="251661312" behindDoc="0" locked="0" layoutInCell="1" allowOverlap="1" wp14:anchorId="63565989" wp14:editId="02B5D495">
          <wp:simplePos x="0" y="0"/>
          <wp:positionH relativeFrom="column">
            <wp:posOffset>4845050</wp:posOffset>
          </wp:positionH>
          <wp:positionV relativeFrom="paragraph">
            <wp:posOffset>-187960</wp:posOffset>
          </wp:positionV>
          <wp:extent cx="1393825" cy="546100"/>
          <wp:effectExtent l="0" t="0" r="0" b="6350"/>
          <wp:wrapNone/>
          <wp:docPr id="1" name="Picture 1" descr="HKO logo_hr za elektronsku primj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O logo_hr za elektronsku primjenu"/>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93825" cy="546100"/>
                  </a:xfrm>
                  <a:prstGeom prst="rect">
                    <a:avLst/>
                  </a:prstGeom>
                  <a:noFill/>
                  <a:ln>
                    <a:noFill/>
                  </a:ln>
                </pic:spPr>
              </pic:pic>
            </a:graphicData>
          </a:graphic>
        </wp:anchor>
      </w:drawing>
    </w:r>
    <w:r w:rsidRPr="00A9709A">
      <w:rPr>
        <w:noProof/>
        <w:lang w:eastAsia="hr-HR"/>
      </w:rPr>
      <w:drawing>
        <wp:anchor distT="0" distB="0" distL="114300" distR="114300" simplePos="0" relativeHeight="251659264" behindDoc="0" locked="0" layoutInCell="1" allowOverlap="1" wp14:anchorId="14A91C9E" wp14:editId="36BB8DA0">
          <wp:simplePos x="0" y="0"/>
          <wp:positionH relativeFrom="column">
            <wp:posOffset>-464185</wp:posOffset>
          </wp:positionH>
          <wp:positionV relativeFrom="paragraph">
            <wp:posOffset>-254000</wp:posOffset>
          </wp:positionV>
          <wp:extent cx="1861820" cy="712470"/>
          <wp:effectExtent l="0" t="0" r="5080" b="0"/>
          <wp:wrapNone/>
          <wp:docPr id="2" name="Picture 1" descr="d:\Users\xyxy\Desktop\NVRLJP_logo.jpg"/>
          <wp:cNvGraphicFramePr/>
          <a:graphic xmlns:a="http://schemas.openxmlformats.org/drawingml/2006/main">
            <a:graphicData uri="http://schemas.openxmlformats.org/drawingml/2006/picture">
              <pic:pic xmlns:pic="http://schemas.openxmlformats.org/drawingml/2006/picture">
                <pic:nvPicPr>
                  <pic:cNvPr id="0" name="Picture 1" descr="d:\Users\xyxy\Desktop\NVRLJP_logo.jpg"/>
                  <pic:cNvPicPr>
                    <a:picLocks noChangeAspect="1" noChangeArrowheads="1"/>
                  </pic:cNvPicPr>
                </pic:nvPicPr>
                <pic:blipFill>
                  <a:blip r:embed="rId3"/>
                  <a:srcRect/>
                  <a:stretch>
                    <a:fillRect/>
                  </a:stretch>
                </pic:blipFill>
                <pic:spPr bwMode="auto">
                  <a:xfrm>
                    <a:off x="0" y="0"/>
                    <a:ext cx="1861820" cy="7124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30DAB"/>
    <w:multiLevelType w:val="hybridMultilevel"/>
    <w:tmpl w:val="F2A094E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13BD6621"/>
    <w:multiLevelType w:val="hybridMultilevel"/>
    <w:tmpl w:val="5FD274D6"/>
    <w:lvl w:ilvl="0" w:tplc="A050B61E">
      <w:start w:val="1"/>
      <w:numFmt w:val="bullet"/>
      <w:lvlText w:val=""/>
      <w:lvlJc w:val="left"/>
      <w:pPr>
        <w:ind w:left="6" w:hanging="360"/>
      </w:pPr>
      <w:rPr>
        <w:rFonts w:ascii="Symbol" w:hAnsi="Symbol" w:hint="default"/>
        <w:sz w:val="24"/>
      </w:rPr>
    </w:lvl>
    <w:lvl w:ilvl="1" w:tplc="041A0003" w:tentative="1">
      <w:start w:val="1"/>
      <w:numFmt w:val="bullet"/>
      <w:lvlText w:val="o"/>
      <w:lvlJc w:val="left"/>
      <w:pPr>
        <w:ind w:left="726" w:hanging="360"/>
      </w:pPr>
      <w:rPr>
        <w:rFonts w:ascii="Courier New" w:hAnsi="Courier New" w:cs="Courier New" w:hint="default"/>
      </w:rPr>
    </w:lvl>
    <w:lvl w:ilvl="2" w:tplc="041A0005" w:tentative="1">
      <w:start w:val="1"/>
      <w:numFmt w:val="bullet"/>
      <w:lvlText w:val=""/>
      <w:lvlJc w:val="left"/>
      <w:pPr>
        <w:ind w:left="1446" w:hanging="360"/>
      </w:pPr>
      <w:rPr>
        <w:rFonts w:ascii="Wingdings" w:hAnsi="Wingdings" w:hint="default"/>
      </w:rPr>
    </w:lvl>
    <w:lvl w:ilvl="3" w:tplc="041A0001" w:tentative="1">
      <w:start w:val="1"/>
      <w:numFmt w:val="bullet"/>
      <w:lvlText w:val=""/>
      <w:lvlJc w:val="left"/>
      <w:pPr>
        <w:ind w:left="2166" w:hanging="360"/>
      </w:pPr>
      <w:rPr>
        <w:rFonts w:ascii="Symbol" w:hAnsi="Symbol" w:hint="default"/>
      </w:rPr>
    </w:lvl>
    <w:lvl w:ilvl="4" w:tplc="041A0003" w:tentative="1">
      <w:start w:val="1"/>
      <w:numFmt w:val="bullet"/>
      <w:lvlText w:val="o"/>
      <w:lvlJc w:val="left"/>
      <w:pPr>
        <w:ind w:left="2886" w:hanging="360"/>
      </w:pPr>
      <w:rPr>
        <w:rFonts w:ascii="Courier New" w:hAnsi="Courier New" w:cs="Courier New" w:hint="default"/>
      </w:rPr>
    </w:lvl>
    <w:lvl w:ilvl="5" w:tplc="041A0005" w:tentative="1">
      <w:start w:val="1"/>
      <w:numFmt w:val="bullet"/>
      <w:lvlText w:val=""/>
      <w:lvlJc w:val="left"/>
      <w:pPr>
        <w:ind w:left="3606" w:hanging="360"/>
      </w:pPr>
      <w:rPr>
        <w:rFonts w:ascii="Wingdings" w:hAnsi="Wingdings" w:hint="default"/>
      </w:rPr>
    </w:lvl>
    <w:lvl w:ilvl="6" w:tplc="041A0001" w:tentative="1">
      <w:start w:val="1"/>
      <w:numFmt w:val="bullet"/>
      <w:lvlText w:val=""/>
      <w:lvlJc w:val="left"/>
      <w:pPr>
        <w:ind w:left="4326" w:hanging="360"/>
      </w:pPr>
      <w:rPr>
        <w:rFonts w:ascii="Symbol" w:hAnsi="Symbol" w:hint="default"/>
      </w:rPr>
    </w:lvl>
    <w:lvl w:ilvl="7" w:tplc="041A0003" w:tentative="1">
      <w:start w:val="1"/>
      <w:numFmt w:val="bullet"/>
      <w:lvlText w:val="o"/>
      <w:lvlJc w:val="left"/>
      <w:pPr>
        <w:ind w:left="5046" w:hanging="360"/>
      </w:pPr>
      <w:rPr>
        <w:rFonts w:ascii="Courier New" w:hAnsi="Courier New" w:cs="Courier New" w:hint="default"/>
      </w:rPr>
    </w:lvl>
    <w:lvl w:ilvl="8" w:tplc="041A0005" w:tentative="1">
      <w:start w:val="1"/>
      <w:numFmt w:val="bullet"/>
      <w:lvlText w:val=""/>
      <w:lvlJc w:val="left"/>
      <w:pPr>
        <w:ind w:left="5766" w:hanging="360"/>
      </w:pPr>
      <w:rPr>
        <w:rFonts w:ascii="Wingdings" w:hAnsi="Wingdings" w:hint="default"/>
      </w:rPr>
    </w:lvl>
  </w:abstractNum>
  <w:abstractNum w:abstractNumId="2">
    <w:nsid w:val="553524F5"/>
    <w:multiLevelType w:val="hybridMultilevel"/>
    <w:tmpl w:val="C19E42D0"/>
    <w:lvl w:ilvl="0" w:tplc="0DBC3AD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5A65289B"/>
    <w:multiLevelType w:val="hybridMultilevel"/>
    <w:tmpl w:val="DB08709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nsid w:val="683039AA"/>
    <w:multiLevelType w:val="hybridMultilevel"/>
    <w:tmpl w:val="F6C8E9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72E471B8"/>
    <w:multiLevelType w:val="hybridMultilevel"/>
    <w:tmpl w:val="D012032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38A"/>
    <w:rsid w:val="000A1495"/>
    <w:rsid w:val="003077A5"/>
    <w:rsid w:val="003671AF"/>
    <w:rsid w:val="003B0B58"/>
    <w:rsid w:val="00467A69"/>
    <w:rsid w:val="005B1CA5"/>
    <w:rsid w:val="005B1D7B"/>
    <w:rsid w:val="006033E1"/>
    <w:rsid w:val="006F10C3"/>
    <w:rsid w:val="0075484D"/>
    <w:rsid w:val="00806BB3"/>
    <w:rsid w:val="00856326"/>
    <w:rsid w:val="008A338A"/>
    <w:rsid w:val="00931424"/>
    <w:rsid w:val="00A9709A"/>
    <w:rsid w:val="00A97B6B"/>
    <w:rsid w:val="00B02EAD"/>
    <w:rsid w:val="00B64A74"/>
    <w:rsid w:val="00C66788"/>
    <w:rsid w:val="00C727FB"/>
    <w:rsid w:val="00CD64E8"/>
    <w:rsid w:val="00DC5D34"/>
    <w:rsid w:val="00FC0421"/>
    <w:rsid w:val="00FC3C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A74"/>
    <w:pPr>
      <w:ind w:left="720"/>
      <w:contextualSpacing/>
    </w:pPr>
  </w:style>
  <w:style w:type="paragraph" w:styleId="Header">
    <w:name w:val="header"/>
    <w:basedOn w:val="Normal"/>
    <w:link w:val="HeaderChar"/>
    <w:uiPriority w:val="99"/>
    <w:unhideWhenUsed/>
    <w:rsid w:val="00A970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709A"/>
  </w:style>
  <w:style w:type="paragraph" w:styleId="Footer">
    <w:name w:val="footer"/>
    <w:basedOn w:val="Normal"/>
    <w:link w:val="FooterChar"/>
    <w:uiPriority w:val="99"/>
    <w:unhideWhenUsed/>
    <w:rsid w:val="00A970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70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A74"/>
    <w:pPr>
      <w:ind w:left="720"/>
      <w:contextualSpacing/>
    </w:pPr>
  </w:style>
  <w:style w:type="paragraph" w:styleId="Header">
    <w:name w:val="header"/>
    <w:basedOn w:val="Normal"/>
    <w:link w:val="HeaderChar"/>
    <w:uiPriority w:val="99"/>
    <w:unhideWhenUsed/>
    <w:rsid w:val="00A970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709A"/>
  </w:style>
  <w:style w:type="paragraph" w:styleId="Footer">
    <w:name w:val="footer"/>
    <w:basedOn w:val="Normal"/>
    <w:link w:val="FooterChar"/>
    <w:uiPriority w:val="99"/>
    <w:unhideWhenUsed/>
    <w:rsid w:val="00A970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7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7F6F6-6F89-4938-A834-29B0D90E3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1973</Characters>
  <Application>Microsoft Office Word</Application>
  <DocSecurity>0</DocSecurity>
  <Lines>16</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mrms</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 Majstorovic</dc:creator>
  <cp:lastModifiedBy>dvuk</cp:lastModifiedBy>
  <cp:revision>2</cp:revision>
  <cp:lastPrinted>2017-12-01T14:04:00Z</cp:lastPrinted>
  <dcterms:created xsi:type="dcterms:W3CDTF">2017-12-01T15:24:00Z</dcterms:created>
  <dcterms:modified xsi:type="dcterms:W3CDTF">2017-12-01T15:24:00Z</dcterms:modified>
</cp:coreProperties>
</file>